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郴州市北湖区人民医院业务综合楼及附属设施项目结算内审服务</w:t>
      </w:r>
      <w:r>
        <w:rPr>
          <w:lang w:val="en-US"/>
        </w:rPr>
        <w:t>采</w:t>
      </w:r>
      <w:r>
        <w:rPr>
          <w:rFonts w:hint="eastAsia"/>
          <w:lang w:val="en-US" w:eastAsia="zh-CN"/>
        </w:rPr>
        <w:t>购需求</w:t>
      </w:r>
    </w:p>
    <w:p>
      <w:pPr>
        <w:pStyle w:val="3"/>
        <w:bidi w:val="0"/>
        <w:rPr>
          <w:rFonts w:hint="eastAsia" w:ascii="方正仿宋_GB2312" w:hAnsi="方正仿宋_GB2312" w:eastAsia="方正仿宋_GB2312" w:cs="方正仿宋_GB2312"/>
          <w:b w:val="0"/>
          <w:bCs/>
        </w:rPr>
      </w:pPr>
      <w:r>
        <w:rPr>
          <w:rStyle w:val="11"/>
          <w:rFonts w:hint="eastAsia"/>
          <w:b/>
          <w:lang w:val="en-US" w:eastAsia="zh-CN"/>
        </w:rPr>
        <w:t>预算金额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：</w:t>
      </w:r>
      <w:r>
        <w:rPr>
          <w:rFonts w:hint="eastAsia" w:ascii="方正仿宋_GB2312" w:hAnsi="方正仿宋_GB2312" w:eastAsia="方正仿宋_GB2312" w:cs="方正仿宋_GB2312"/>
          <w:b w:val="0"/>
          <w:bCs/>
          <w:lang w:val="en-US" w:eastAsia="zh-CN"/>
        </w:rPr>
        <w:t>不超过北湖区工程造价协审服务费计费标准，按计费标准整体下浮进行报价</w:t>
      </w:r>
      <w:r>
        <w:rPr>
          <w:rFonts w:hint="eastAsia" w:ascii="方正仿宋_GB2312" w:hAnsi="方正仿宋_GB2312" w:eastAsia="方正仿宋_GB2312" w:cs="方正仿宋_GB2312"/>
          <w:b w:val="0"/>
          <w:bCs/>
        </w:rPr>
        <w:t>；</w:t>
      </w:r>
      <w:r>
        <w:rPr>
          <w:rFonts w:hint="eastAsia" w:ascii="方正仿宋_GB2312" w:hAnsi="方正仿宋_GB2312" w:eastAsia="方正仿宋_GB2312" w:cs="方正仿宋_GB2312"/>
          <w:b w:val="0"/>
          <w:bCs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 w:val="0"/>
          <w:bCs/>
          <w:lang w:val="en-US" w:eastAsia="zh-CN"/>
        </w:rPr>
        <w:t>计费标准见附件</w:t>
      </w:r>
      <w:r>
        <w:rPr>
          <w:rFonts w:hint="eastAsia" w:ascii="方正仿宋_GB2312" w:hAnsi="方正仿宋_GB2312" w:eastAsia="方正仿宋_GB2312" w:cs="方正仿宋_GB2312"/>
          <w:b w:val="0"/>
          <w:bCs/>
          <w:lang w:eastAsia="zh-CN"/>
        </w:rPr>
        <w:t>）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投标人资格要求</w:t>
      </w:r>
    </w:p>
    <w:p>
      <w:pPr>
        <w:numPr>
          <w:ilvl w:val="1"/>
          <w:numId w:val="2"/>
        </w:numPr>
        <w:bidi w:val="0"/>
        <w:ind w:left="0" w:leftChars="0" w:firstLine="420"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具有独立法人资格并依法取得企业法人营业执照，营业执照处于有效期，经营范围符合要求;</w:t>
      </w:r>
    </w:p>
    <w:p>
      <w:pPr>
        <w:numPr>
          <w:ilvl w:val="1"/>
          <w:numId w:val="2"/>
        </w:numPr>
        <w:bidi w:val="0"/>
        <w:ind w:left="0" w:leftChars="0" w:firstLine="420"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具有良好商业信誉和健全的财务会计制度、依法缴纳税收、依法缴纳社会保障资金、具备履行合同所必需的设备和专业技术能力;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eastAsia="zh-CN"/>
        </w:rPr>
        <w:t>组成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>人员必须要有土建一级注册造价师和注册安装造价师各一名。</w:t>
      </w:r>
    </w:p>
    <w:p>
      <w:pPr>
        <w:numPr>
          <w:ilvl w:val="1"/>
          <w:numId w:val="2"/>
        </w:numPr>
        <w:bidi w:val="0"/>
        <w:ind w:left="0" w:leftChars="0" w:firstLine="420"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近三年参加政府采购活动中没有重大违法、违规或其他不良记录，在“信用中国”和“政府采购”网站上没有严重违法、失信行为记录;列入失信被执行人、重大税收违法案件当事人名单，列入政府采购严重违法失信行为记录名单的，拒绝其参与政府采购活动;</w:t>
      </w:r>
    </w:p>
    <w:p>
      <w:pPr>
        <w:numPr>
          <w:ilvl w:val="1"/>
          <w:numId w:val="2"/>
        </w:numPr>
        <w:bidi w:val="0"/>
        <w:ind w:left="0" w:leftChars="0" w:firstLine="420"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单位负责人为同一人或者存在投资参股、控股、管理和被管理关系的不同投标人，不得同时参加该项目投标;</w:t>
      </w:r>
    </w:p>
    <w:p>
      <w:pPr>
        <w:numPr>
          <w:ilvl w:val="1"/>
          <w:numId w:val="2"/>
        </w:numPr>
        <w:bidi w:val="0"/>
        <w:ind w:left="0" w:leftChars="0" w:firstLine="420"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本项目不接受联合体投标。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其他采购要求</w:t>
      </w:r>
    </w:p>
    <w:p>
      <w:pPr>
        <w:numPr>
          <w:ilvl w:val="1"/>
          <w:numId w:val="3"/>
        </w:numPr>
        <w:bidi w:val="0"/>
        <w:ind w:left="0" w:leftChars="0" w:firstLine="420"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有医院项目造价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咨询的业绩；</w:t>
      </w:r>
    </w:p>
    <w:p>
      <w:pPr>
        <w:numPr>
          <w:ilvl w:val="1"/>
          <w:numId w:val="3"/>
        </w:numPr>
        <w:bidi w:val="0"/>
        <w:ind w:left="0" w:leftChars="0" w:firstLine="420"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询成果时间：送审资料完善后30天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内出具咨询报告</w:t>
      </w:r>
    </w:p>
    <w:p>
      <w:pPr>
        <w:numPr>
          <w:ilvl w:val="1"/>
          <w:numId w:val="3"/>
        </w:numPr>
        <w:bidi w:val="0"/>
        <w:ind w:left="0" w:leftChars="0" w:firstLine="420"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询质量要求：坚持实事求是的原则，与后期审计局的审计结果对比后，超出审计局的审计金额超过2%的，基本收费不予计取。</w:t>
      </w:r>
    </w:p>
    <w:p>
      <w:pPr>
        <w:rPr>
          <w:rFonts w:hint="eastAsia" w:ascii="宋体" w:hAnsi="宋体"/>
          <w:sz w:val="32"/>
          <w:szCs w:val="30"/>
        </w:rPr>
      </w:pPr>
    </w:p>
    <w:p>
      <w:pPr>
        <w:rPr>
          <w:rFonts w:hint="eastAsia" w:ascii="宋体" w:hAnsi="宋体"/>
          <w:sz w:val="32"/>
          <w:szCs w:val="30"/>
        </w:rPr>
      </w:pPr>
    </w:p>
    <w:p>
      <w:pPr>
        <w:rPr>
          <w:rFonts w:hint="eastAsia" w:ascii="宋体" w:hAnsi="宋体"/>
          <w:sz w:val="32"/>
          <w:szCs w:val="30"/>
        </w:rPr>
      </w:pPr>
      <w:r>
        <w:rPr>
          <w:rFonts w:hint="eastAsia" w:ascii="宋体" w:hAnsi="宋体"/>
          <w:sz w:val="32"/>
          <w:szCs w:val="30"/>
        </w:rPr>
        <w:br w:type="page"/>
      </w:r>
    </w:p>
    <w:p>
      <w:pPr>
        <w:rPr>
          <w:rFonts w:hint="eastAsia" w:ascii="宋体" w:hAnsi="宋体"/>
          <w:sz w:val="32"/>
          <w:szCs w:val="30"/>
        </w:rPr>
      </w:pPr>
      <w:r>
        <w:rPr>
          <w:rFonts w:hint="eastAsia" w:ascii="宋体" w:hAnsi="宋体"/>
          <w:sz w:val="32"/>
          <w:szCs w:val="30"/>
        </w:rPr>
        <w:t>附件1：</w:t>
      </w:r>
    </w:p>
    <w:p>
      <w:pPr>
        <w:pStyle w:val="10"/>
        <w:snapToGrid w:val="0"/>
        <w:spacing w:before="0" w:beforeAutospacing="0" w:after="0" w:afterAutospacing="0" w:line="330" w:lineRule="atLeas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44"/>
          <w:szCs w:val="44"/>
        </w:rPr>
        <w:t xml:space="preserve">北湖区工程造价协审服务费计费标准 </w:t>
      </w:r>
    </w:p>
    <w:tbl>
      <w:tblPr>
        <w:tblStyle w:val="6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449"/>
        <w:gridCol w:w="2283"/>
        <w:gridCol w:w="1147"/>
        <w:gridCol w:w="870"/>
        <w:gridCol w:w="1147"/>
        <w:gridCol w:w="1263"/>
        <w:gridCol w:w="6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36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960" w:firstLineChars="40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960" w:firstLineChars="40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   费   项   目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计费基数</w:t>
            </w:r>
          </w:p>
        </w:tc>
        <w:tc>
          <w:tcPr>
            <w:tcW w:w="240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040" w:firstLineChars="8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基准费率（‰）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2036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500万元以下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（含500万元）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500-1000万元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（含1000万元）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1000-5000万元（含5000万元）</w:t>
            </w:r>
          </w:p>
        </w:tc>
        <w:tc>
          <w:tcPr>
            <w:tcW w:w="5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5000万元以上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30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工程 结算、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竣工决算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审核</w:t>
            </w:r>
          </w:p>
        </w:tc>
        <w:tc>
          <w:tcPr>
            <w:tcW w:w="18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基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服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费</w:t>
            </w:r>
          </w:p>
        </w:tc>
        <w:tc>
          <w:tcPr>
            <w:tcW w:w="1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市政工程、园林绿化工程、公路工程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审计机关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审定金额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360" w:firstLineChars="1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1.8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0.9</w:t>
            </w:r>
          </w:p>
        </w:tc>
        <w:tc>
          <w:tcPr>
            <w:tcW w:w="5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30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土建及配套安装、二次装饰工程、仿古、水利、电力、人防工程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审计机关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审定金额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360" w:firstLineChars="1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3.6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2.4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1.5</w:t>
            </w:r>
          </w:p>
        </w:tc>
        <w:tc>
          <w:tcPr>
            <w:tcW w:w="5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30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2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720" w:firstLineChars="30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业绩计费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（核增或者核减收费）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协审单位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核增或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核减金额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360" w:firstLineChars="1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5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</w:tbl>
    <w:p>
      <w:pPr>
        <w:widowControl/>
        <w:snapToGrid w:val="0"/>
        <w:spacing w:line="360" w:lineRule="exac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注：上述费用计算按差额定率累进计提。</w:t>
      </w:r>
    </w:p>
    <w:p>
      <w:pPr>
        <w:widowControl/>
        <w:snapToGrid w:val="0"/>
        <w:spacing w:line="240" w:lineRule="exact"/>
        <w:jc w:val="center"/>
        <w:rPr>
          <w:rFonts w:hint="eastAsia" w:ascii="仿宋" w:hAnsi="仿宋" w:eastAsia="仿宋"/>
          <w:sz w:val="30"/>
          <w:szCs w:val="30"/>
        </w:rPr>
      </w:pPr>
    </w:p>
    <w:p>
      <w:pPr>
        <w:widowControl/>
        <w:snapToGrid w:val="0"/>
        <w:spacing w:line="240" w:lineRule="exact"/>
        <w:jc w:val="center"/>
        <w:rPr>
          <w:rFonts w:hint="eastAsia" w:ascii="仿宋" w:hAnsi="仿宋" w:eastAsia="仿宋"/>
          <w:sz w:val="30"/>
          <w:szCs w:val="30"/>
        </w:rPr>
      </w:pPr>
    </w:p>
    <w:p>
      <w:pPr>
        <w:widowControl/>
        <w:snapToGrid w:val="0"/>
        <w:spacing w:line="240" w:lineRule="exact"/>
        <w:jc w:val="center"/>
        <w:rPr>
          <w:rFonts w:hint="eastAsia" w:ascii="仿宋" w:hAnsi="仿宋" w:eastAsia="仿宋"/>
          <w:sz w:val="30"/>
          <w:szCs w:val="30"/>
        </w:rPr>
      </w:pPr>
    </w:p>
    <w:p>
      <w:pPr>
        <w:widowControl/>
        <w:snapToGrid w:val="0"/>
        <w:spacing w:line="240" w:lineRule="exact"/>
        <w:jc w:val="center"/>
        <w:rPr>
          <w:rFonts w:hint="eastAsia" w:ascii="仿宋" w:hAnsi="仿宋" w:eastAsia="仿宋"/>
          <w:sz w:val="30"/>
          <w:szCs w:val="30"/>
        </w:rPr>
      </w:pPr>
    </w:p>
    <w:p>
      <w:pPr>
        <w:widowControl/>
        <w:snapToGrid w:val="0"/>
        <w:spacing w:line="240" w:lineRule="exact"/>
        <w:jc w:val="center"/>
        <w:rPr>
          <w:rFonts w:hint="eastAsia" w:ascii="仿宋" w:hAnsi="仿宋" w:eastAsia="仿宋"/>
          <w:sz w:val="30"/>
          <w:szCs w:val="30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F2F141"/>
    <w:multiLevelType w:val="multilevel"/>
    <w:tmpl w:val="84F2F141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 w:ascii="黑体" w:hAnsi="黑体" w:eastAsia="黑体" w:cs="黑体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9270B8F7"/>
    <w:multiLevelType w:val="multilevel"/>
    <w:tmpl w:val="9270B8F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2">
    <w:nsid w:val="1310734E"/>
    <w:multiLevelType w:val="multilevel"/>
    <w:tmpl w:val="1310734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lMzUyMjc5NzkxZGMwMTBkNDM4OGZlM2I3MzU1MWEifQ=="/>
  </w:docVars>
  <w:rsids>
    <w:rsidRoot w:val="00000000"/>
    <w:rsid w:val="04E66D86"/>
    <w:rsid w:val="10CA4CE0"/>
    <w:rsid w:val="2CC650DE"/>
    <w:rsid w:val="37780B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rFonts w:ascii="Calibri" w:hAnsi="Calibri" w:eastAsia="宋体"/>
      <w:b/>
      <w:kern w:val="44"/>
      <w:sz w:val="44"/>
      <w:szCs w:val="2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firstLineChars="0"/>
      <w:jc w:val="left"/>
      <w:outlineLvl w:val="1"/>
    </w:pPr>
    <w:rPr>
      <w:rFonts w:ascii="Arial" w:hAnsi="Arial" w:eastAsia="黑体"/>
      <w:b/>
      <w:sz w:val="32"/>
      <w:szCs w:val="24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标题 2 Char1"/>
    <w:link w:val="3"/>
    <w:qFormat/>
    <w:uiPriority w:val="0"/>
    <w:rPr>
      <w:rFonts w:ascii="Arial" w:hAnsi="Arial" w:eastAsia="黑体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438</Words>
  <Characters>485</Characters>
  <Paragraphs>7</Paragraphs>
  <TotalTime>12</TotalTime>
  <ScaleCrop>false</ScaleCrop>
  <LinksUpToDate>false</LinksUpToDate>
  <CharactersWithSpaces>498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2024-11-12T07:32:00Z</dcterms:created>
  <dc:creator>VOG-AL00</dc:creator>
  <cp:lastModifiedBy>123</cp:lastModifiedBy>
  <dcterms:modified xsi:type="dcterms:W3CDTF">2024-11-25T07:22:20Z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06E31B60A8424A459204CBAA0917FF29_13</vt:lpwstr>
  </property>
  <property fmtid="{D5CDD505-2E9C-101B-9397-08002B2CF9AE}" pid="3" name="KSOProductBuildVer">
    <vt:lpwstr>2052-12.1.0.15374</vt:lpwstr>
  </property>
</Properties>
</file>