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numPr>
          <w:numId w:val="0"/>
        </w:numPr>
        <w:bidi w:val="0"/>
        <w:ind w:leftChars="0"/>
        <w:jc w:val="center"/>
        <w:rPr>
          <w:sz w:val="44"/>
          <w:szCs w:val="44"/>
        </w:rPr>
      </w:pPr>
      <w:r>
        <w:rPr>
          <w:sz w:val="44"/>
          <w:szCs w:val="44"/>
          <w:lang w:val="en-US" w:eastAsia="zh-CN"/>
        </w:rPr>
        <w:t>全自动血液细胞分析仪</w:t>
      </w:r>
      <w:r>
        <w:rPr>
          <w:rFonts w:hint="eastAsia"/>
          <w:sz w:val="44"/>
          <w:szCs w:val="44"/>
          <w:lang w:val="en-US" w:eastAsia="zh-CN"/>
        </w:rPr>
        <w:t>采购</w:t>
      </w:r>
      <w:r>
        <w:rPr>
          <w:sz w:val="44"/>
          <w:szCs w:val="44"/>
        </w:rPr>
        <w:t>参数要求</w:t>
      </w:r>
    </w:p>
    <w:p>
      <w:pPr>
        <w:bidi w:val="0"/>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一、数量：1台</w:t>
      </w:r>
    </w:p>
    <w:p>
      <w:pPr>
        <w:bidi w:val="0"/>
        <w:rPr>
          <w:rFonts w:hint="default" w:ascii="仿宋" w:hAnsi="仿宋" w:eastAsia="仿宋" w:cs="仿宋"/>
          <w:b/>
          <w:bCs/>
          <w:sz w:val="32"/>
          <w:szCs w:val="32"/>
          <w:lang w:val="en-US" w:eastAsia="zh-CN"/>
        </w:rPr>
      </w:pPr>
      <w:r>
        <w:rPr>
          <w:rFonts w:hint="eastAsia" w:ascii="仿宋" w:hAnsi="仿宋" w:eastAsia="仿宋" w:cs="仿宋"/>
          <w:b/>
          <w:bCs/>
          <w:sz w:val="32"/>
          <w:szCs w:val="32"/>
          <w:lang w:val="en-US" w:eastAsia="zh-CN"/>
        </w:rPr>
        <w:t>二、采购限价：10万元/台以内。</w:t>
      </w:r>
    </w:p>
    <w:p>
      <w:pPr>
        <w:spacing w:line="360" w:lineRule="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三、设备参数要求：</w:t>
      </w:r>
      <w:bookmarkStart w:id="2" w:name="_GoBack"/>
      <w:bookmarkEnd w:id="2"/>
    </w:p>
    <w:p>
      <w:pPr>
        <w:numPr>
          <w:ilvl w:val="0"/>
          <w:numId w:val="2"/>
        </w:numPr>
        <w:spacing w:line="360" w:lineRule="auto"/>
        <w:rPr>
          <w:rFonts w:hint="eastAsia" w:ascii="仿宋" w:hAnsi="仿宋" w:eastAsia="仿宋" w:cs="仿宋"/>
          <w:color w:val="auto"/>
          <w:sz w:val="32"/>
          <w:szCs w:val="32"/>
        </w:rPr>
      </w:pPr>
      <w:r>
        <w:rPr>
          <w:rFonts w:hint="eastAsia" w:ascii="仿宋" w:hAnsi="仿宋" w:eastAsia="仿宋" w:cs="仿宋"/>
          <w:color w:val="auto"/>
          <w:sz w:val="32"/>
          <w:szCs w:val="32"/>
        </w:rPr>
        <w:t>仪器描述：供临床检验中作血液细胞计数、白细胞分类、血红蛋白浓度测量、C-反应蛋白及血清淀粉样蛋白A测量；仪器为血常规、CRP、SAA检测一体机。</w:t>
      </w:r>
    </w:p>
    <w:p>
      <w:pPr>
        <w:numPr>
          <w:ilvl w:val="0"/>
          <w:numId w:val="2"/>
        </w:numPr>
        <w:spacing w:line="360" w:lineRule="auto"/>
        <w:rPr>
          <w:rFonts w:hint="eastAsia" w:ascii="仿宋" w:hAnsi="仿宋" w:eastAsia="仿宋" w:cs="仿宋"/>
          <w:color w:val="auto"/>
          <w:sz w:val="32"/>
          <w:szCs w:val="32"/>
        </w:rPr>
      </w:pPr>
      <w:r>
        <w:rPr>
          <w:rFonts w:hint="eastAsia" w:ascii="仿宋" w:hAnsi="仿宋" w:eastAsia="仿宋" w:cs="仿宋"/>
          <w:color w:val="auto"/>
          <w:sz w:val="32"/>
          <w:szCs w:val="32"/>
        </w:rPr>
        <w:t>检测方法及原理：血液分析采用半导体激光法、鞘流电阻抗法、荧光染色法和流式细胞技术原理。</w:t>
      </w:r>
    </w:p>
    <w:p>
      <w:pPr>
        <w:numPr>
          <w:ilvl w:val="0"/>
          <w:numId w:val="2"/>
        </w:numPr>
        <w:spacing w:line="360" w:lineRule="auto"/>
        <w:rPr>
          <w:rFonts w:hint="eastAsia" w:ascii="仿宋" w:hAnsi="仿宋" w:eastAsia="仿宋" w:cs="仿宋"/>
          <w:color w:val="auto"/>
          <w:sz w:val="32"/>
          <w:szCs w:val="32"/>
        </w:rPr>
      </w:pPr>
      <w:r>
        <w:rPr>
          <w:rFonts w:hint="eastAsia" w:ascii="仿宋" w:hAnsi="仿宋" w:eastAsia="仿宋" w:cs="仿宋"/>
          <w:color w:val="auto"/>
          <w:sz w:val="32"/>
          <w:szCs w:val="32"/>
        </w:rPr>
        <w:t>血常规报告参数≥32个（不含直方图、散点图），散点图≥2个。单机检测速度：CBC＋DIFF≥ 80个样本/</w:t>
      </w:r>
      <w:bookmarkStart w:id="0" w:name="OLE_LINK5"/>
      <w:bookmarkStart w:id="1" w:name="OLE_LINK6"/>
      <w:r>
        <w:rPr>
          <w:rFonts w:hint="eastAsia" w:ascii="仿宋" w:hAnsi="仿宋" w:eastAsia="仿宋" w:cs="仿宋"/>
          <w:color w:val="auto"/>
          <w:sz w:val="32"/>
          <w:szCs w:val="32"/>
        </w:rPr>
        <w:t>小时</w:t>
      </w:r>
      <w:bookmarkEnd w:id="0"/>
      <w:bookmarkEnd w:id="1"/>
    </w:p>
    <w:p>
      <w:pPr>
        <w:numPr>
          <w:ilvl w:val="0"/>
          <w:numId w:val="2"/>
        </w:numPr>
        <w:spacing w:line="360" w:lineRule="auto"/>
        <w:rPr>
          <w:rFonts w:hint="eastAsia" w:ascii="仿宋" w:hAnsi="仿宋" w:eastAsia="仿宋" w:cs="仿宋"/>
          <w:color w:val="auto"/>
          <w:sz w:val="32"/>
          <w:szCs w:val="32"/>
        </w:rPr>
      </w:pPr>
      <w:r>
        <w:rPr>
          <w:rFonts w:hint="eastAsia" w:ascii="仿宋" w:hAnsi="仿宋" w:eastAsia="仿宋" w:cs="仿宋"/>
          <w:color w:val="auto"/>
          <w:sz w:val="32"/>
          <w:szCs w:val="32"/>
        </w:rPr>
        <w:t xml:space="preserve">进样方式及用血量：静脉血可实现自动批量进样或手动进样；末梢全血检测CD+CRP用血量≤37μl。 </w:t>
      </w:r>
    </w:p>
    <w:p>
      <w:pPr>
        <w:numPr>
          <w:ilvl w:val="0"/>
          <w:numId w:val="2"/>
        </w:numPr>
        <w:spacing w:line="360" w:lineRule="auto"/>
        <w:rPr>
          <w:rFonts w:hint="eastAsia" w:ascii="仿宋" w:hAnsi="仿宋" w:eastAsia="仿宋" w:cs="仿宋"/>
          <w:color w:val="auto"/>
          <w:sz w:val="32"/>
          <w:szCs w:val="32"/>
        </w:rPr>
      </w:pPr>
      <w:r>
        <w:rPr>
          <w:rFonts w:hint="eastAsia" w:ascii="仿宋" w:hAnsi="仿宋" w:eastAsia="仿宋" w:cs="仿宋"/>
          <w:color w:val="auto"/>
          <w:sz w:val="32"/>
          <w:szCs w:val="32"/>
        </w:rPr>
        <w:t xml:space="preserve">标配自动进样器，自动进样器内轨标配回退功能 </w:t>
      </w:r>
    </w:p>
    <w:p>
      <w:pPr>
        <w:numPr>
          <w:ilvl w:val="0"/>
          <w:numId w:val="2"/>
        </w:numPr>
        <w:spacing w:line="360" w:lineRule="auto"/>
        <w:rPr>
          <w:rFonts w:hint="eastAsia" w:ascii="仿宋" w:hAnsi="仿宋" w:eastAsia="仿宋" w:cs="仿宋"/>
          <w:color w:val="auto"/>
          <w:sz w:val="32"/>
          <w:szCs w:val="32"/>
        </w:rPr>
      </w:pPr>
      <w:r>
        <w:rPr>
          <w:rFonts w:hint="eastAsia" w:ascii="仿宋" w:hAnsi="仿宋" w:eastAsia="仿宋" w:cs="仿宋"/>
          <w:color w:val="auto"/>
          <w:sz w:val="32"/>
          <w:szCs w:val="32"/>
        </w:rPr>
        <w:t>具有全自动体液（含胸水、腹水、脑脊液和浆膜液等体液）细胞计数和对体液中的白细胞进行分类的功能。</w:t>
      </w:r>
    </w:p>
    <w:p>
      <w:pPr>
        <w:numPr>
          <w:ilvl w:val="0"/>
          <w:numId w:val="2"/>
        </w:numPr>
        <w:spacing w:line="360" w:lineRule="auto"/>
        <w:rPr>
          <w:rFonts w:hint="eastAsia" w:ascii="仿宋" w:hAnsi="仿宋" w:eastAsia="仿宋" w:cs="仿宋"/>
          <w:color w:val="auto"/>
          <w:sz w:val="32"/>
          <w:szCs w:val="32"/>
        </w:rPr>
      </w:pPr>
      <w:r>
        <w:rPr>
          <w:rFonts w:hint="eastAsia" w:ascii="仿宋" w:hAnsi="仿宋" w:eastAsia="仿宋" w:cs="仿宋"/>
          <w:color w:val="auto"/>
          <w:sz w:val="32"/>
          <w:szCs w:val="32"/>
        </w:rPr>
        <w:t xml:space="preserve">具有低值白细胞检测功能，如遇白细胞低值时可通过增加计数颗粒数量来保证检测结果的准确性。 </w:t>
      </w:r>
    </w:p>
    <w:p>
      <w:pPr>
        <w:numPr>
          <w:ilvl w:val="0"/>
          <w:numId w:val="2"/>
        </w:numPr>
        <w:spacing w:line="360" w:lineRule="auto"/>
        <w:rPr>
          <w:rFonts w:hint="eastAsia" w:ascii="仿宋" w:hAnsi="仿宋" w:eastAsia="仿宋" w:cs="仿宋"/>
          <w:color w:val="auto"/>
          <w:sz w:val="32"/>
          <w:szCs w:val="32"/>
        </w:rPr>
      </w:pPr>
      <w:r>
        <w:rPr>
          <w:rFonts w:hint="eastAsia" w:ascii="仿宋" w:hAnsi="仿宋" w:eastAsia="仿宋" w:cs="仿宋"/>
          <w:color w:val="auto"/>
          <w:sz w:val="32"/>
          <w:szCs w:val="32"/>
        </w:rPr>
        <w:t>仪器数据结果储存量≥13万条</w:t>
      </w:r>
    </w:p>
    <w:p>
      <w:pPr>
        <w:numPr>
          <w:ilvl w:val="0"/>
          <w:numId w:val="2"/>
        </w:numPr>
        <w:spacing w:line="360" w:lineRule="auto"/>
        <w:rPr>
          <w:rFonts w:hint="eastAsia" w:ascii="仿宋" w:hAnsi="仿宋" w:eastAsia="仿宋" w:cs="仿宋"/>
          <w:color w:val="auto"/>
          <w:sz w:val="32"/>
          <w:szCs w:val="32"/>
        </w:rPr>
      </w:pPr>
      <w:r>
        <w:rPr>
          <w:rFonts w:hint="eastAsia" w:ascii="仿宋" w:hAnsi="仿宋" w:eastAsia="仿宋" w:cs="仿宋"/>
          <w:color w:val="auto"/>
          <w:sz w:val="32"/>
          <w:szCs w:val="32"/>
        </w:rPr>
        <w:t xml:space="preserve"> 血液分析线性范围（静脉血）：白细胞：（0-500）</w:t>
      </w:r>
      <w:r>
        <w:rPr>
          <w:rFonts w:hint="eastAsia" w:ascii="仿宋" w:hAnsi="仿宋" w:eastAsia="仿宋" w:cs="仿宋"/>
          <w:color w:val="auto"/>
          <w:sz w:val="32"/>
          <w:szCs w:val="32"/>
        </w:rPr>
        <w:sym w:font="Symbol" w:char="F0B4"/>
      </w:r>
      <w:r>
        <w:rPr>
          <w:rFonts w:hint="eastAsia" w:ascii="仿宋" w:hAnsi="仿宋" w:eastAsia="仿宋" w:cs="仿宋"/>
          <w:color w:val="auto"/>
          <w:sz w:val="32"/>
          <w:szCs w:val="32"/>
        </w:rPr>
        <w:t xml:space="preserve"> 10</w:t>
      </w:r>
      <w:r>
        <w:rPr>
          <w:rFonts w:hint="eastAsia" w:ascii="仿宋" w:hAnsi="仿宋" w:eastAsia="仿宋" w:cs="仿宋"/>
          <w:color w:val="auto"/>
          <w:sz w:val="32"/>
          <w:szCs w:val="32"/>
          <w:vertAlign w:val="superscript"/>
        </w:rPr>
        <w:t>9</w:t>
      </w:r>
      <w:r>
        <w:rPr>
          <w:rFonts w:hint="eastAsia" w:ascii="仿宋" w:hAnsi="仿宋" w:eastAsia="仿宋" w:cs="仿宋"/>
          <w:color w:val="auto"/>
          <w:sz w:val="32"/>
          <w:szCs w:val="32"/>
        </w:rPr>
        <w:t>/L，红细胞：（0-8.6）</w:t>
      </w:r>
      <w:r>
        <w:rPr>
          <w:rFonts w:hint="eastAsia" w:ascii="仿宋" w:hAnsi="仿宋" w:eastAsia="仿宋" w:cs="仿宋"/>
          <w:color w:val="auto"/>
          <w:sz w:val="32"/>
          <w:szCs w:val="32"/>
        </w:rPr>
        <w:sym w:font="Symbol" w:char="F0B4"/>
      </w:r>
      <w:r>
        <w:rPr>
          <w:rFonts w:hint="eastAsia" w:ascii="仿宋" w:hAnsi="仿宋" w:eastAsia="仿宋" w:cs="仿宋"/>
          <w:color w:val="auto"/>
          <w:sz w:val="32"/>
          <w:szCs w:val="32"/>
        </w:rPr>
        <w:t xml:space="preserve"> 10</w:t>
      </w:r>
      <w:r>
        <w:rPr>
          <w:rFonts w:hint="eastAsia" w:ascii="仿宋" w:hAnsi="仿宋" w:eastAsia="仿宋" w:cs="仿宋"/>
          <w:color w:val="auto"/>
          <w:sz w:val="32"/>
          <w:szCs w:val="32"/>
          <w:vertAlign w:val="superscript"/>
        </w:rPr>
        <w:t>12</w:t>
      </w:r>
      <w:r>
        <w:rPr>
          <w:rFonts w:hint="eastAsia" w:ascii="仿宋" w:hAnsi="仿宋" w:eastAsia="仿宋" w:cs="仿宋"/>
          <w:color w:val="auto"/>
          <w:sz w:val="32"/>
          <w:szCs w:val="32"/>
        </w:rPr>
        <w:t>/L，血小板：（0-5000）</w:t>
      </w:r>
      <w:r>
        <w:rPr>
          <w:rFonts w:hint="eastAsia" w:ascii="仿宋" w:hAnsi="仿宋" w:eastAsia="仿宋" w:cs="仿宋"/>
          <w:color w:val="auto"/>
          <w:sz w:val="32"/>
          <w:szCs w:val="32"/>
        </w:rPr>
        <w:sym w:font="Symbol" w:char="F0B4"/>
      </w:r>
      <w:r>
        <w:rPr>
          <w:rFonts w:hint="eastAsia" w:ascii="仿宋" w:hAnsi="仿宋" w:eastAsia="仿宋" w:cs="仿宋"/>
          <w:color w:val="auto"/>
          <w:sz w:val="32"/>
          <w:szCs w:val="32"/>
        </w:rPr>
        <w:t xml:space="preserve"> 10</w:t>
      </w:r>
      <w:r>
        <w:rPr>
          <w:rFonts w:hint="eastAsia" w:ascii="仿宋" w:hAnsi="仿宋" w:eastAsia="仿宋" w:cs="仿宋"/>
          <w:color w:val="auto"/>
          <w:sz w:val="32"/>
          <w:szCs w:val="32"/>
          <w:vertAlign w:val="superscript"/>
        </w:rPr>
        <w:t>9</w:t>
      </w:r>
      <w:r>
        <w:rPr>
          <w:rFonts w:hint="eastAsia" w:ascii="仿宋" w:hAnsi="仿宋" w:eastAsia="仿宋" w:cs="仿宋"/>
          <w:color w:val="auto"/>
          <w:sz w:val="32"/>
          <w:szCs w:val="32"/>
        </w:rPr>
        <w:t>/L，血红蛋白：（0-260）g/L。</w:t>
      </w:r>
    </w:p>
    <w:p>
      <w:pPr>
        <w:pStyle w:val="8"/>
        <w:numPr>
          <w:ilvl w:val="0"/>
          <w:numId w:val="2"/>
        </w:numPr>
        <w:spacing w:line="360" w:lineRule="auto"/>
        <w:ind w:firstLineChars="0"/>
        <w:rPr>
          <w:rFonts w:hint="eastAsia" w:ascii="仿宋" w:hAnsi="仿宋" w:eastAsia="仿宋" w:cs="仿宋"/>
          <w:color w:val="auto"/>
          <w:sz w:val="32"/>
          <w:szCs w:val="32"/>
        </w:rPr>
      </w:pPr>
      <w:r>
        <w:rPr>
          <w:rFonts w:hint="eastAsia" w:ascii="仿宋" w:hAnsi="仿宋" w:eastAsia="仿宋" w:cs="仿宋"/>
          <w:color w:val="auto"/>
          <w:sz w:val="32"/>
          <w:szCs w:val="32"/>
        </w:rPr>
        <w:t>CRP检测线性范围0.2mg/L~320mg/L</w:t>
      </w:r>
    </w:p>
    <w:p>
      <w:pPr>
        <w:numPr>
          <w:ilvl w:val="0"/>
          <w:numId w:val="2"/>
        </w:numPr>
        <w:spacing w:line="360" w:lineRule="auto"/>
        <w:rPr>
          <w:rFonts w:hint="eastAsia" w:ascii="仿宋" w:hAnsi="仿宋" w:eastAsia="仿宋" w:cs="仿宋"/>
          <w:color w:val="auto"/>
          <w:sz w:val="32"/>
          <w:szCs w:val="32"/>
        </w:rPr>
      </w:pPr>
      <w:r>
        <w:rPr>
          <w:rFonts w:hint="eastAsia" w:ascii="仿宋" w:hAnsi="仿宋" w:eastAsia="仿宋" w:cs="仿宋"/>
          <w:color w:val="auto"/>
          <w:sz w:val="32"/>
          <w:szCs w:val="32"/>
        </w:rPr>
        <w:t>SAA线性范围：5mg/L~300mg/L</w:t>
      </w:r>
    </w:p>
    <w:p>
      <w:pPr>
        <w:numPr>
          <w:ilvl w:val="0"/>
          <w:numId w:val="2"/>
        </w:numPr>
        <w:spacing w:line="360" w:lineRule="auto"/>
        <w:rPr>
          <w:rFonts w:hint="eastAsia" w:ascii="仿宋" w:hAnsi="仿宋" w:eastAsia="仿宋" w:cs="仿宋"/>
          <w:color w:val="auto"/>
          <w:sz w:val="32"/>
          <w:szCs w:val="32"/>
        </w:rPr>
      </w:pPr>
      <w:r>
        <w:rPr>
          <w:rFonts w:hint="eastAsia" w:ascii="仿宋" w:hAnsi="仿宋" w:eastAsia="仿宋" w:cs="仿宋"/>
          <w:color w:val="auto"/>
          <w:sz w:val="32"/>
          <w:szCs w:val="32"/>
        </w:rPr>
        <w:t>提供有溯源性的有证血液校准物，并有配套有证的高、中、低3个水平血液和体液质控物。同一管血液质控品可以覆盖全部报告项目进行质控，满足各等级评审及ISO对质控的要求。</w:t>
      </w:r>
    </w:p>
    <w:p>
      <w:pPr>
        <w:numPr>
          <w:ilvl w:val="0"/>
          <w:numId w:val="2"/>
        </w:numPr>
        <w:spacing w:line="360" w:lineRule="auto"/>
        <w:rPr>
          <w:rFonts w:hint="eastAsia" w:ascii="仿宋" w:hAnsi="仿宋" w:eastAsia="仿宋" w:cs="仿宋"/>
          <w:color w:val="auto"/>
          <w:sz w:val="32"/>
          <w:szCs w:val="32"/>
        </w:rPr>
      </w:pPr>
      <w:r>
        <w:rPr>
          <w:rFonts w:hint="eastAsia" w:ascii="仿宋" w:hAnsi="仿宋" w:eastAsia="仿宋" w:cs="仿宋"/>
          <w:color w:val="auto"/>
          <w:sz w:val="32"/>
          <w:szCs w:val="32"/>
        </w:rPr>
        <w:t>全血CRP检测时可校正红细胞、白细胞、血小板体积的干扰（提供证明文件）</w:t>
      </w:r>
    </w:p>
    <w:p>
      <w:pPr>
        <w:numPr>
          <w:ilvl w:val="0"/>
          <w:numId w:val="2"/>
        </w:numPr>
        <w:spacing w:line="360" w:lineRule="auto"/>
        <w:rPr>
          <w:rFonts w:hint="eastAsia" w:ascii="仿宋" w:hAnsi="仿宋" w:eastAsia="仿宋" w:cs="仿宋"/>
          <w:color w:val="auto"/>
          <w:sz w:val="32"/>
          <w:szCs w:val="32"/>
        </w:rPr>
      </w:pPr>
      <w:r>
        <w:rPr>
          <w:rFonts w:hint="eastAsia" w:ascii="仿宋" w:hAnsi="仿宋" w:eastAsia="仿宋" w:cs="仿宋"/>
          <w:color w:val="auto"/>
          <w:sz w:val="32"/>
          <w:szCs w:val="32"/>
        </w:rPr>
        <w:t>仪器带有血沉检测功能，一管血可同时满足血常规、CRP、SAA的检测需求。</w:t>
      </w:r>
    </w:p>
    <w:p>
      <w:pPr>
        <w:numPr>
          <w:ilvl w:val="0"/>
          <w:numId w:val="2"/>
        </w:numPr>
        <w:spacing w:line="360" w:lineRule="auto"/>
        <w:rPr>
          <w:rFonts w:hint="eastAsia" w:ascii="仿宋" w:hAnsi="仿宋" w:eastAsia="仿宋" w:cs="仿宋"/>
          <w:color w:val="auto"/>
          <w:sz w:val="32"/>
          <w:szCs w:val="32"/>
        </w:rPr>
      </w:pPr>
      <w:r>
        <w:rPr>
          <w:rFonts w:hint="eastAsia" w:ascii="仿宋" w:hAnsi="仿宋" w:eastAsia="仿宋" w:cs="仿宋"/>
          <w:color w:val="auto"/>
          <w:sz w:val="32"/>
          <w:szCs w:val="32"/>
        </w:rPr>
        <w:t>仪器检测SAA项目可设置HOOK效应报警，触发报警仪器自动回退重新吸样检测。</w:t>
      </w:r>
    </w:p>
    <w:p>
      <w:pPr>
        <w:numPr>
          <w:ilvl w:val="0"/>
          <w:numId w:val="2"/>
        </w:numPr>
        <w:spacing w:line="360" w:lineRule="auto"/>
        <w:rPr>
          <w:rFonts w:hint="eastAsia" w:ascii="仿宋" w:hAnsi="仿宋" w:eastAsia="仿宋" w:cs="仿宋"/>
          <w:color w:val="auto"/>
          <w:sz w:val="32"/>
          <w:szCs w:val="32"/>
        </w:rPr>
      </w:pPr>
      <w:r>
        <w:rPr>
          <w:rFonts w:hint="eastAsia" w:ascii="仿宋" w:hAnsi="仿宋" w:eastAsia="仿宋" w:cs="仿宋"/>
          <w:color w:val="auto"/>
          <w:sz w:val="32"/>
          <w:szCs w:val="32"/>
        </w:rPr>
        <w:t>仪器带有彩色可触摸屏幕，屏幕显示界面设置有悬浮窗可实现不同检测模式下快速切换。</w:t>
      </w:r>
    </w:p>
    <w:p>
      <w:pPr>
        <w:pStyle w:val="3"/>
        <w:numPr>
          <w:numId w:val="0"/>
        </w:numPr>
        <w:bidi w:val="0"/>
        <w:ind w:leftChars="0"/>
        <w:rPr>
          <w:rFonts w:hint="eastAsia" w:ascii="仿宋" w:hAnsi="仿宋" w:eastAsia="仿宋" w:cs="仿宋"/>
          <w:sz w:val="32"/>
          <w:szCs w:val="32"/>
        </w:rPr>
      </w:pPr>
      <w:r>
        <w:rPr>
          <w:rFonts w:hint="eastAsia" w:ascii="仿宋" w:hAnsi="仿宋" w:eastAsia="仿宋" w:cs="仿宋"/>
          <w:sz w:val="32"/>
          <w:szCs w:val="32"/>
          <w:lang w:val="en-US" w:eastAsia="zh-CN"/>
        </w:rPr>
        <w:t>四、配套试剂</w:t>
      </w:r>
    </w:p>
    <w:tbl>
      <w:tblPr>
        <w:tblStyle w:val="6"/>
        <w:tblW w:w="5218"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Layout w:type="autofit"/>
        <w:tblCellMar>
          <w:top w:w="0" w:type="dxa"/>
          <w:left w:w="108" w:type="dxa"/>
          <w:bottom w:w="0" w:type="dxa"/>
          <w:right w:w="108" w:type="dxa"/>
        </w:tblCellMar>
      </w:tblPr>
      <w:tblGrid>
        <w:gridCol w:w="998"/>
        <w:gridCol w:w="4751"/>
        <w:gridCol w:w="314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490" w:hRule="atLeast"/>
        </w:trPr>
        <w:tc>
          <w:tcPr>
            <w:tcW w:w="5000" w:type="pct"/>
            <w:gridSpan w:val="3"/>
            <w:tcBorders>
              <w:tl2br w:val="nil"/>
              <w:tr2bl w:val="nil"/>
            </w:tcBorders>
            <w:shd w:val="clear" w:color="auto" w:fill="auto"/>
            <w:vAlign w:val="center"/>
          </w:tcPr>
          <w:p>
            <w:pPr>
              <w:keepNext w:val="0"/>
              <w:keepLines w:val="0"/>
              <w:widowControl/>
              <w:suppressLineNumbers w:val="0"/>
              <w:jc w:val="center"/>
              <w:textAlignment w:val="center"/>
              <w:rPr>
                <w:rFonts w:hint="eastAsia" w:ascii="仿宋" w:hAnsi="仿宋" w:eastAsia="仿宋" w:cs="仿宋"/>
                <w:b/>
                <w:bCs/>
                <w:i w:val="0"/>
                <w:iCs w:val="0"/>
                <w:color w:val="auto"/>
                <w:sz w:val="32"/>
                <w:szCs w:val="32"/>
                <w:u w:val="none"/>
              </w:rPr>
            </w:pPr>
            <w:r>
              <w:rPr>
                <w:rFonts w:hint="eastAsia" w:ascii="仿宋" w:hAnsi="仿宋" w:eastAsia="仿宋" w:cs="仿宋"/>
                <w:b/>
                <w:bCs/>
                <w:i w:val="0"/>
                <w:iCs w:val="0"/>
                <w:color w:val="auto"/>
                <w:kern w:val="0"/>
                <w:sz w:val="32"/>
                <w:szCs w:val="32"/>
                <w:u w:val="none"/>
                <w:lang w:val="en-US" w:eastAsia="zh-CN" w:bidi="ar"/>
              </w:rPr>
              <w:t>血细胞分析用试剂目录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70" w:hRule="atLeast"/>
        </w:trPr>
        <w:tc>
          <w:tcPr>
            <w:tcW w:w="561" w:type="pct"/>
            <w:tcBorders>
              <w:tl2br w:val="nil"/>
              <w:tr2bl w:val="nil"/>
            </w:tcBorders>
            <w:shd w:val="clear" w:color="auto" w:fill="auto"/>
            <w:vAlign w:val="center"/>
          </w:tcPr>
          <w:p>
            <w:pPr>
              <w:keepNext w:val="0"/>
              <w:keepLines w:val="0"/>
              <w:widowControl/>
              <w:suppressLineNumbers w:val="0"/>
              <w:jc w:val="center"/>
              <w:textAlignment w:val="center"/>
              <w:rPr>
                <w:rFonts w:hint="eastAsia" w:ascii="仿宋" w:hAnsi="仿宋" w:eastAsia="仿宋" w:cs="仿宋"/>
                <w:b w:val="0"/>
                <w:bCs w:val="0"/>
                <w:i w:val="0"/>
                <w:iCs w:val="0"/>
                <w:color w:val="auto"/>
                <w:sz w:val="32"/>
                <w:szCs w:val="32"/>
                <w:u w:val="none"/>
              </w:rPr>
            </w:pPr>
            <w:r>
              <w:rPr>
                <w:rFonts w:hint="eastAsia" w:ascii="仿宋" w:hAnsi="仿宋" w:eastAsia="仿宋" w:cs="仿宋"/>
                <w:b w:val="0"/>
                <w:bCs w:val="0"/>
                <w:i w:val="0"/>
                <w:iCs w:val="0"/>
                <w:color w:val="auto"/>
                <w:kern w:val="0"/>
                <w:sz w:val="32"/>
                <w:szCs w:val="32"/>
                <w:u w:val="none"/>
                <w:lang w:val="en-US" w:eastAsia="zh-CN" w:bidi="ar"/>
              </w:rPr>
              <w:t>序号</w:t>
            </w:r>
          </w:p>
        </w:tc>
        <w:tc>
          <w:tcPr>
            <w:tcW w:w="2671" w:type="pct"/>
            <w:tcBorders>
              <w:tl2br w:val="nil"/>
              <w:tr2bl w:val="nil"/>
            </w:tcBorders>
            <w:shd w:val="clear" w:color="auto" w:fill="auto"/>
            <w:vAlign w:val="center"/>
          </w:tcPr>
          <w:p>
            <w:pPr>
              <w:keepNext w:val="0"/>
              <w:keepLines w:val="0"/>
              <w:widowControl/>
              <w:suppressLineNumbers w:val="0"/>
              <w:jc w:val="center"/>
              <w:textAlignment w:val="center"/>
              <w:rPr>
                <w:rFonts w:hint="eastAsia" w:ascii="仿宋" w:hAnsi="仿宋" w:eastAsia="仿宋" w:cs="仿宋"/>
                <w:b w:val="0"/>
                <w:bCs w:val="0"/>
                <w:i w:val="0"/>
                <w:iCs w:val="0"/>
                <w:color w:val="auto"/>
                <w:sz w:val="32"/>
                <w:szCs w:val="32"/>
                <w:u w:val="none"/>
              </w:rPr>
            </w:pPr>
            <w:r>
              <w:rPr>
                <w:rFonts w:hint="eastAsia" w:ascii="仿宋" w:hAnsi="仿宋" w:eastAsia="仿宋" w:cs="仿宋"/>
                <w:b w:val="0"/>
                <w:bCs w:val="0"/>
                <w:i w:val="0"/>
                <w:iCs w:val="0"/>
                <w:color w:val="auto"/>
                <w:kern w:val="0"/>
                <w:sz w:val="32"/>
                <w:szCs w:val="32"/>
                <w:u w:val="none"/>
                <w:lang w:val="en-US" w:eastAsia="zh-CN" w:bidi="ar"/>
              </w:rPr>
              <w:t>产品名称</w:t>
            </w:r>
          </w:p>
        </w:tc>
        <w:tc>
          <w:tcPr>
            <w:tcW w:w="1767" w:type="pct"/>
            <w:tcBorders>
              <w:tl2br w:val="nil"/>
              <w:tr2bl w:val="nil"/>
            </w:tcBorders>
            <w:shd w:val="clear" w:color="auto" w:fill="auto"/>
            <w:vAlign w:val="center"/>
          </w:tcPr>
          <w:p>
            <w:pPr>
              <w:keepNext w:val="0"/>
              <w:keepLines w:val="0"/>
              <w:widowControl/>
              <w:suppressLineNumbers w:val="0"/>
              <w:jc w:val="center"/>
              <w:textAlignment w:val="center"/>
              <w:rPr>
                <w:rFonts w:hint="eastAsia" w:ascii="仿宋" w:hAnsi="仿宋" w:eastAsia="仿宋" w:cs="仿宋"/>
                <w:b w:val="0"/>
                <w:bCs w:val="0"/>
                <w:i w:val="0"/>
                <w:iCs w:val="0"/>
                <w:color w:val="auto"/>
                <w:sz w:val="32"/>
                <w:szCs w:val="32"/>
                <w:u w:val="none"/>
                <w:lang w:val="en-US"/>
              </w:rPr>
            </w:pPr>
            <w:r>
              <w:rPr>
                <w:rFonts w:hint="eastAsia" w:ascii="仿宋" w:hAnsi="仿宋" w:eastAsia="仿宋" w:cs="仿宋"/>
                <w:b w:val="0"/>
                <w:bCs w:val="0"/>
                <w:i w:val="0"/>
                <w:iCs w:val="0"/>
                <w:color w:val="auto"/>
                <w:kern w:val="0"/>
                <w:sz w:val="32"/>
                <w:szCs w:val="32"/>
                <w:u w:val="none"/>
                <w:lang w:val="en-US" w:eastAsia="zh-CN" w:bidi="ar"/>
              </w:rPr>
              <w:t>每1ml最高限价（元）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70" w:hRule="atLeast"/>
        </w:trPr>
        <w:tc>
          <w:tcPr>
            <w:tcW w:w="561" w:type="pct"/>
            <w:tcBorders>
              <w:tl2br w:val="nil"/>
              <w:tr2bl w:val="nil"/>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auto"/>
                <w:sz w:val="32"/>
                <w:szCs w:val="32"/>
                <w:u w:val="none"/>
              </w:rPr>
            </w:pPr>
            <w:r>
              <w:rPr>
                <w:rFonts w:hint="eastAsia" w:ascii="仿宋" w:hAnsi="仿宋" w:eastAsia="仿宋" w:cs="仿宋"/>
                <w:i w:val="0"/>
                <w:iCs w:val="0"/>
                <w:color w:val="auto"/>
                <w:kern w:val="0"/>
                <w:sz w:val="32"/>
                <w:szCs w:val="32"/>
                <w:u w:val="none"/>
                <w:lang w:val="en-US" w:eastAsia="zh-CN" w:bidi="ar"/>
              </w:rPr>
              <w:t>1</w:t>
            </w:r>
          </w:p>
        </w:tc>
        <w:tc>
          <w:tcPr>
            <w:tcW w:w="2671" w:type="pct"/>
            <w:tcBorders>
              <w:tl2br w:val="nil"/>
              <w:tr2bl w:val="nil"/>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auto"/>
                <w:sz w:val="32"/>
                <w:szCs w:val="32"/>
                <w:u w:val="none"/>
              </w:rPr>
            </w:pPr>
            <w:r>
              <w:rPr>
                <w:rFonts w:hint="eastAsia" w:ascii="仿宋" w:hAnsi="仿宋" w:eastAsia="仿宋" w:cs="仿宋"/>
                <w:i w:val="0"/>
                <w:iCs w:val="0"/>
                <w:color w:val="auto"/>
                <w:kern w:val="0"/>
                <w:sz w:val="32"/>
                <w:szCs w:val="32"/>
                <w:u w:val="none"/>
                <w:lang w:val="en-US" w:eastAsia="zh-CN" w:bidi="ar"/>
              </w:rPr>
              <w:t>血细胞分析用溶血剂（A液)</w:t>
            </w:r>
          </w:p>
        </w:tc>
        <w:tc>
          <w:tcPr>
            <w:tcW w:w="1767" w:type="pct"/>
            <w:tcBorders>
              <w:tl2br w:val="nil"/>
              <w:tr2bl w:val="nil"/>
            </w:tcBorders>
            <w:shd w:val="clear" w:color="auto" w:fill="auto"/>
            <w:noWrap/>
            <w:vAlign w:val="bottom"/>
          </w:tcPr>
          <w:p>
            <w:pPr>
              <w:keepNext w:val="0"/>
              <w:keepLines w:val="0"/>
              <w:widowControl/>
              <w:suppressLineNumbers w:val="0"/>
              <w:jc w:val="right"/>
              <w:textAlignment w:val="bottom"/>
              <w:rPr>
                <w:rFonts w:hint="eastAsia" w:ascii="仿宋" w:hAnsi="仿宋" w:eastAsia="仿宋" w:cs="仿宋"/>
                <w:i w:val="0"/>
                <w:iCs w:val="0"/>
                <w:color w:val="auto"/>
                <w:sz w:val="32"/>
                <w:szCs w:val="32"/>
                <w:u w:val="none"/>
              </w:rPr>
            </w:pPr>
            <w:r>
              <w:rPr>
                <w:rFonts w:hint="eastAsia" w:ascii="仿宋" w:hAnsi="仿宋" w:eastAsia="仿宋" w:cs="仿宋"/>
                <w:i w:val="0"/>
                <w:iCs w:val="0"/>
                <w:color w:val="auto"/>
                <w:kern w:val="0"/>
                <w:sz w:val="32"/>
                <w:szCs w:val="32"/>
                <w:u w:val="none"/>
                <w:lang w:val="en-US" w:eastAsia="zh-CN" w:bidi="ar"/>
              </w:rPr>
              <w:t>1.274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70" w:hRule="atLeast"/>
        </w:trPr>
        <w:tc>
          <w:tcPr>
            <w:tcW w:w="561" w:type="pct"/>
            <w:tcBorders>
              <w:tl2br w:val="nil"/>
              <w:tr2bl w:val="nil"/>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auto"/>
                <w:sz w:val="32"/>
                <w:szCs w:val="32"/>
                <w:u w:val="none"/>
              </w:rPr>
            </w:pPr>
            <w:r>
              <w:rPr>
                <w:rFonts w:hint="eastAsia" w:ascii="仿宋" w:hAnsi="仿宋" w:eastAsia="仿宋" w:cs="仿宋"/>
                <w:i w:val="0"/>
                <w:iCs w:val="0"/>
                <w:color w:val="auto"/>
                <w:kern w:val="0"/>
                <w:sz w:val="32"/>
                <w:szCs w:val="32"/>
                <w:u w:val="none"/>
                <w:lang w:val="en-US" w:eastAsia="zh-CN" w:bidi="ar"/>
              </w:rPr>
              <w:t>2</w:t>
            </w:r>
          </w:p>
        </w:tc>
        <w:tc>
          <w:tcPr>
            <w:tcW w:w="2671" w:type="pct"/>
            <w:tcBorders>
              <w:tl2br w:val="nil"/>
              <w:tr2bl w:val="nil"/>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auto"/>
                <w:sz w:val="32"/>
                <w:szCs w:val="32"/>
                <w:u w:val="none"/>
              </w:rPr>
            </w:pPr>
            <w:r>
              <w:rPr>
                <w:rFonts w:hint="eastAsia" w:ascii="仿宋" w:hAnsi="仿宋" w:eastAsia="仿宋" w:cs="仿宋"/>
                <w:i w:val="0"/>
                <w:iCs w:val="0"/>
                <w:color w:val="auto"/>
                <w:kern w:val="0"/>
                <w:sz w:val="32"/>
                <w:szCs w:val="32"/>
                <w:u w:val="none"/>
                <w:lang w:val="en-US" w:eastAsia="zh-CN" w:bidi="ar"/>
              </w:rPr>
              <w:t>血细胞分析用溶血剂 (B液）</w:t>
            </w:r>
          </w:p>
        </w:tc>
        <w:tc>
          <w:tcPr>
            <w:tcW w:w="1767" w:type="pct"/>
            <w:tcBorders>
              <w:tl2br w:val="nil"/>
              <w:tr2bl w:val="nil"/>
            </w:tcBorders>
            <w:shd w:val="clear" w:color="auto" w:fill="auto"/>
            <w:noWrap/>
            <w:vAlign w:val="bottom"/>
          </w:tcPr>
          <w:p>
            <w:pPr>
              <w:keepNext w:val="0"/>
              <w:keepLines w:val="0"/>
              <w:widowControl/>
              <w:suppressLineNumbers w:val="0"/>
              <w:jc w:val="right"/>
              <w:textAlignment w:val="bottom"/>
              <w:rPr>
                <w:rFonts w:hint="eastAsia" w:ascii="仿宋" w:hAnsi="仿宋" w:eastAsia="仿宋" w:cs="仿宋"/>
                <w:i w:val="0"/>
                <w:iCs w:val="0"/>
                <w:color w:val="auto"/>
                <w:sz w:val="32"/>
                <w:szCs w:val="32"/>
                <w:u w:val="none"/>
              </w:rPr>
            </w:pPr>
            <w:r>
              <w:rPr>
                <w:rFonts w:hint="eastAsia" w:ascii="仿宋" w:hAnsi="仿宋" w:eastAsia="仿宋" w:cs="仿宋"/>
                <w:i w:val="0"/>
                <w:iCs w:val="0"/>
                <w:color w:val="auto"/>
                <w:kern w:val="0"/>
                <w:sz w:val="32"/>
                <w:szCs w:val="32"/>
                <w:u w:val="none"/>
                <w:lang w:val="en-US" w:eastAsia="zh-CN" w:bidi="ar"/>
              </w:rPr>
              <w:t>0.846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70" w:hRule="atLeast"/>
        </w:trPr>
        <w:tc>
          <w:tcPr>
            <w:tcW w:w="561" w:type="pct"/>
            <w:tcBorders>
              <w:tl2br w:val="nil"/>
              <w:tr2bl w:val="nil"/>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auto"/>
                <w:sz w:val="32"/>
                <w:szCs w:val="32"/>
                <w:u w:val="none"/>
              </w:rPr>
            </w:pPr>
            <w:r>
              <w:rPr>
                <w:rFonts w:hint="eastAsia" w:ascii="仿宋" w:hAnsi="仿宋" w:eastAsia="仿宋" w:cs="仿宋"/>
                <w:i w:val="0"/>
                <w:iCs w:val="0"/>
                <w:color w:val="auto"/>
                <w:kern w:val="0"/>
                <w:sz w:val="32"/>
                <w:szCs w:val="32"/>
                <w:u w:val="none"/>
                <w:lang w:val="en-US" w:eastAsia="zh-CN" w:bidi="ar"/>
              </w:rPr>
              <w:t>3</w:t>
            </w:r>
          </w:p>
        </w:tc>
        <w:tc>
          <w:tcPr>
            <w:tcW w:w="2671" w:type="pct"/>
            <w:tcBorders>
              <w:tl2br w:val="nil"/>
              <w:tr2bl w:val="nil"/>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auto"/>
                <w:sz w:val="32"/>
                <w:szCs w:val="32"/>
                <w:u w:val="none"/>
              </w:rPr>
            </w:pPr>
            <w:r>
              <w:rPr>
                <w:rFonts w:hint="eastAsia" w:ascii="仿宋" w:hAnsi="仿宋" w:eastAsia="仿宋" w:cs="仿宋"/>
                <w:i w:val="0"/>
                <w:iCs w:val="0"/>
                <w:color w:val="auto"/>
                <w:kern w:val="0"/>
                <w:sz w:val="32"/>
                <w:szCs w:val="32"/>
                <w:u w:val="none"/>
                <w:lang w:val="en-US" w:eastAsia="zh-CN" w:bidi="ar"/>
              </w:rPr>
              <w:t>血细胞分析用染色液</w:t>
            </w:r>
          </w:p>
        </w:tc>
        <w:tc>
          <w:tcPr>
            <w:tcW w:w="1767" w:type="pct"/>
            <w:tcBorders>
              <w:tl2br w:val="nil"/>
              <w:tr2bl w:val="nil"/>
            </w:tcBorders>
            <w:shd w:val="clear" w:color="auto" w:fill="auto"/>
            <w:noWrap/>
            <w:vAlign w:val="bottom"/>
          </w:tcPr>
          <w:p>
            <w:pPr>
              <w:keepNext w:val="0"/>
              <w:keepLines w:val="0"/>
              <w:widowControl/>
              <w:suppressLineNumbers w:val="0"/>
              <w:jc w:val="right"/>
              <w:textAlignment w:val="bottom"/>
              <w:rPr>
                <w:rFonts w:hint="eastAsia" w:ascii="仿宋" w:hAnsi="仿宋" w:eastAsia="仿宋" w:cs="仿宋"/>
                <w:i w:val="0"/>
                <w:iCs w:val="0"/>
                <w:color w:val="auto"/>
                <w:sz w:val="32"/>
                <w:szCs w:val="32"/>
                <w:u w:val="none"/>
              </w:rPr>
            </w:pPr>
            <w:r>
              <w:rPr>
                <w:rFonts w:hint="eastAsia" w:ascii="仿宋" w:hAnsi="仿宋" w:eastAsia="仿宋" w:cs="仿宋"/>
                <w:i w:val="0"/>
                <w:iCs w:val="0"/>
                <w:color w:val="auto"/>
                <w:kern w:val="0"/>
                <w:sz w:val="32"/>
                <w:szCs w:val="32"/>
                <w:u w:val="none"/>
                <w:lang w:val="en-US" w:eastAsia="zh-CN" w:bidi="ar"/>
              </w:rPr>
              <w:t>77.625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70" w:hRule="atLeast"/>
        </w:trPr>
        <w:tc>
          <w:tcPr>
            <w:tcW w:w="561" w:type="pct"/>
            <w:tcBorders>
              <w:tl2br w:val="nil"/>
              <w:tr2bl w:val="nil"/>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auto"/>
                <w:sz w:val="32"/>
                <w:szCs w:val="32"/>
                <w:u w:val="none"/>
              </w:rPr>
            </w:pPr>
            <w:r>
              <w:rPr>
                <w:rFonts w:hint="eastAsia" w:ascii="仿宋" w:hAnsi="仿宋" w:eastAsia="仿宋" w:cs="仿宋"/>
                <w:i w:val="0"/>
                <w:iCs w:val="0"/>
                <w:color w:val="auto"/>
                <w:kern w:val="0"/>
                <w:sz w:val="32"/>
                <w:szCs w:val="32"/>
                <w:u w:val="none"/>
                <w:lang w:val="en-US" w:eastAsia="zh-CN" w:bidi="ar"/>
              </w:rPr>
              <w:t>4</w:t>
            </w:r>
          </w:p>
        </w:tc>
        <w:tc>
          <w:tcPr>
            <w:tcW w:w="2671" w:type="pct"/>
            <w:tcBorders>
              <w:tl2br w:val="nil"/>
              <w:tr2bl w:val="nil"/>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auto"/>
                <w:sz w:val="32"/>
                <w:szCs w:val="32"/>
                <w:u w:val="none"/>
              </w:rPr>
            </w:pPr>
            <w:r>
              <w:rPr>
                <w:rFonts w:hint="eastAsia" w:ascii="仿宋" w:hAnsi="仿宋" w:eastAsia="仿宋" w:cs="仿宋"/>
                <w:i w:val="0"/>
                <w:iCs w:val="0"/>
                <w:color w:val="auto"/>
                <w:kern w:val="0"/>
                <w:sz w:val="32"/>
                <w:szCs w:val="32"/>
                <w:u w:val="none"/>
                <w:lang w:val="en-US" w:eastAsia="zh-CN" w:bidi="ar"/>
              </w:rPr>
              <w:t>血细胞分析用稀释液</w:t>
            </w:r>
          </w:p>
        </w:tc>
        <w:tc>
          <w:tcPr>
            <w:tcW w:w="1767" w:type="pct"/>
            <w:tcBorders>
              <w:tl2br w:val="nil"/>
              <w:tr2bl w:val="nil"/>
            </w:tcBorders>
            <w:shd w:val="clear" w:color="auto" w:fill="auto"/>
            <w:noWrap/>
            <w:vAlign w:val="bottom"/>
          </w:tcPr>
          <w:p>
            <w:pPr>
              <w:keepNext w:val="0"/>
              <w:keepLines w:val="0"/>
              <w:widowControl/>
              <w:suppressLineNumbers w:val="0"/>
              <w:jc w:val="right"/>
              <w:textAlignment w:val="bottom"/>
              <w:rPr>
                <w:rFonts w:hint="eastAsia" w:ascii="仿宋" w:hAnsi="仿宋" w:eastAsia="仿宋" w:cs="仿宋"/>
                <w:i w:val="0"/>
                <w:iCs w:val="0"/>
                <w:color w:val="auto"/>
                <w:sz w:val="32"/>
                <w:szCs w:val="32"/>
                <w:u w:val="none"/>
              </w:rPr>
            </w:pPr>
            <w:r>
              <w:rPr>
                <w:rFonts w:hint="eastAsia" w:ascii="仿宋" w:hAnsi="仿宋" w:eastAsia="仿宋" w:cs="仿宋"/>
                <w:i w:val="0"/>
                <w:iCs w:val="0"/>
                <w:color w:val="auto"/>
                <w:kern w:val="0"/>
                <w:sz w:val="32"/>
                <w:szCs w:val="32"/>
                <w:u w:val="none"/>
                <w:lang w:val="en-US" w:eastAsia="zh-CN" w:bidi="ar"/>
              </w:rPr>
              <w:t>0.014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70" w:hRule="atLeast"/>
        </w:trPr>
        <w:tc>
          <w:tcPr>
            <w:tcW w:w="561" w:type="pct"/>
            <w:tcBorders>
              <w:tl2br w:val="nil"/>
              <w:tr2bl w:val="nil"/>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auto"/>
                <w:sz w:val="32"/>
                <w:szCs w:val="32"/>
                <w:u w:val="none"/>
              </w:rPr>
            </w:pPr>
            <w:r>
              <w:rPr>
                <w:rFonts w:hint="eastAsia" w:ascii="仿宋" w:hAnsi="仿宋" w:eastAsia="仿宋" w:cs="仿宋"/>
                <w:i w:val="0"/>
                <w:iCs w:val="0"/>
                <w:color w:val="auto"/>
                <w:kern w:val="0"/>
                <w:sz w:val="32"/>
                <w:szCs w:val="32"/>
                <w:u w:val="none"/>
                <w:lang w:val="en-US" w:eastAsia="zh-CN" w:bidi="ar"/>
              </w:rPr>
              <w:t>5</w:t>
            </w:r>
          </w:p>
        </w:tc>
        <w:tc>
          <w:tcPr>
            <w:tcW w:w="2671" w:type="pct"/>
            <w:tcBorders>
              <w:tl2br w:val="nil"/>
              <w:tr2bl w:val="nil"/>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auto"/>
                <w:sz w:val="32"/>
                <w:szCs w:val="32"/>
                <w:u w:val="none"/>
              </w:rPr>
            </w:pPr>
            <w:r>
              <w:rPr>
                <w:rFonts w:hint="eastAsia" w:ascii="仿宋" w:hAnsi="仿宋" w:eastAsia="仿宋" w:cs="仿宋"/>
                <w:i w:val="0"/>
                <w:iCs w:val="0"/>
                <w:color w:val="auto"/>
                <w:kern w:val="0"/>
                <w:sz w:val="32"/>
                <w:szCs w:val="32"/>
                <w:u w:val="none"/>
                <w:lang w:val="en-US" w:eastAsia="zh-CN" w:bidi="ar"/>
              </w:rPr>
              <w:t>血细胞分析仪用质控品</w:t>
            </w:r>
          </w:p>
        </w:tc>
        <w:tc>
          <w:tcPr>
            <w:tcW w:w="1767" w:type="pct"/>
            <w:tcBorders>
              <w:tl2br w:val="nil"/>
              <w:tr2bl w:val="nil"/>
            </w:tcBorders>
            <w:shd w:val="clear" w:color="auto" w:fill="auto"/>
            <w:noWrap/>
            <w:vAlign w:val="bottom"/>
          </w:tcPr>
          <w:p>
            <w:pPr>
              <w:keepNext w:val="0"/>
              <w:keepLines w:val="0"/>
              <w:widowControl/>
              <w:suppressLineNumbers w:val="0"/>
              <w:jc w:val="right"/>
              <w:textAlignment w:val="bottom"/>
              <w:rPr>
                <w:rFonts w:hint="eastAsia" w:ascii="仿宋" w:hAnsi="仿宋" w:eastAsia="仿宋" w:cs="仿宋"/>
                <w:i w:val="0"/>
                <w:iCs w:val="0"/>
                <w:color w:val="auto"/>
                <w:sz w:val="32"/>
                <w:szCs w:val="32"/>
                <w:u w:val="none"/>
              </w:rPr>
            </w:pPr>
            <w:r>
              <w:rPr>
                <w:rFonts w:hint="eastAsia" w:ascii="仿宋" w:hAnsi="仿宋" w:eastAsia="仿宋" w:cs="仿宋"/>
                <w:i w:val="0"/>
                <w:iCs w:val="0"/>
                <w:color w:val="auto"/>
                <w:kern w:val="0"/>
                <w:sz w:val="32"/>
                <w:szCs w:val="32"/>
                <w:u w:val="none"/>
                <w:lang w:val="en-US" w:eastAsia="zh-CN" w:bidi="ar"/>
              </w:rPr>
              <w:t>97.991</w:t>
            </w:r>
          </w:p>
        </w:tc>
      </w:tr>
    </w:tbl>
    <w:p>
      <w:pPr>
        <w:bidi w:val="0"/>
        <w:ind w:left="0" w:leftChars="0"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相关耗材名称按照各自品牌进行投标，不一定等同上述耗材名称。报价采用每1ml最高限价整体下浮的方式，保留三位小数点。</w:t>
      </w:r>
    </w:p>
    <w:p>
      <w:pPr>
        <w:bidi w:val="0"/>
        <w:ind w:firstLine="643" w:firstLineChars="200"/>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五、质保售后。整机质保5年。</w:t>
      </w:r>
    </w:p>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decorative"/>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Segoe UI Symbol">
    <w:panose1 w:val="020B0502040204020203"/>
    <w:charset w:val="00"/>
    <w:family w:val="swiss"/>
    <w:pitch w:val="default"/>
    <w:sig w:usb0="800001E3" w:usb1="1200FFEF" w:usb2="00040000" w:usb3="04000000" w:csb0="00000001" w:csb1="40000000"/>
  </w:font>
  <w:font w:name="等线 Light">
    <w:panose1 w:val="02010600030101010101"/>
    <w:charset w:val="86"/>
    <w:family w:val="auto"/>
    <w:pitch w:val="default"/>
    <w:sig w:usb0="A00002BF" w:usb1="38CF7CFA" w:usb2="00000016" w:usb3="00000000" w:csb0="0004000F"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19EAB01"/>
    <w:multiLevelType w:val="multilevel"/>
    <w:tmpl w:val="219EAB01"/>
    <w:lvl w:ilvl="0" w:tentative="0">
      <w:start w:val="1"/>
      <w:numFmt w:val="chineseCounting"/>
      <w:suff w:val="nothing"/>
      <w:lvlText w:val="%1、"/>
      <w:lvlJc w:val="left"/>
      <w:pPr>
        <w:ind w:left="0" w:firstLine="0"/>
      </w:pPr>
      <w:rPr>
        <w:rFonts w:hint="eastAsia"/>
      </w:rPr>
    </w:lvl>
    <w:lvl w:ilvl="1" w:tentative="0">
      <w:start w:val="1"/>
      <w:numFmt w:val="chineseCounting"/>
      <w:pStyle w:val="3"/>
      <w:suff w:val="nothing"/>
      <w:lvlText w:val="（%2）"/>
      <w:lvlJc w:val="left"/>
      <w:pPr>
        <w:ind w:left="0" w:firstLine="0"/>
      </w:pPr>
      <w:rPr>
        <w:rFonts w:hint="eastAsia"/>
      </w:rPr>
    </w:lvl>
    <w:lvl w:ilvl="2" w:tentative="0">
      <w:start w:val="1"/>
      <w:numFmt w:val="decimal"/>
      <w:suff w:val="nothing"/>
      <w:lvlText w:val="%3．"/>
      <w:lvlJc w:val="left"/>
      <w:pPr>
        <w:ind w:left="0" w:firstLine="400"/>
      </w:pPr>
      <w:rPr>
        <w:rFonts w:hint="eastAsia"/>
      </w:rPr>
    </w:lvl>
    <w:lvl w:ilvl="3" w:tentative="0">
      <w:start w:val="1"/>
      <w:numFmt w:val="decimal"/>
      <w:suff w:val="nothing"/>
      <w:lvlText w:val="（%4）"/>
      <w:lvlJc w:val="left"/>
      <w:pPr>
        <w:ind w:left="0" w:firstLine="402"/>
      </w:pPr>
      <w:rPr>
        <w:rFonts w:hint="eastAsia"/>
      </w:rPr>
    </w:lvl>
    <w:lvl w:ilvl="4" w:tentative="0">
      <w:start w:val="1"/>
      <w:numFmt w:val="decimalEnclosedCircleChinese"/>
      <w:suff w:val="nothing"/>
      <w:lvlText w:val="%5"/>
      <w:lvlJc w:val="left"/>
      <w:pPr>
        <w:ind w:left="0" w:firstLine="402"/>
      </w:pPr>
      <w:rPr>
        <w:rFonts w:hint="eastAsia"/>
      </w:rPr>
    </w:lvl>
    <w:lvl w:ilvl="5" w:tentative="0">
      <w:start w:val="1"/>
      <w:numFmt w:val="decimal"/>
      <w:suff w:val="nothing"/>
      <w:lvlText w:val="%6）"/>
      <w:lvlJc w:val="left"/>
      <w:pPr>
        <w:ind w:left="0" w:firstLine="402"/>
      </w:pPr>
      <w:rPr>
        <w:rFonts w:hint="eastAsia"/>
      </w:rPr>
    </w:lvl>
    <w:lvl w:ilvl="6" w:tentative="0">
      <w:start w:val="1"/>
      <w:numFmt w:val="lowerLetter"/>
      <w:suff w:val="nothing"/>
      <w:lvlText w:val="%7．"/>
      <w:lvlJc w:val="left"/>
      <w:pPr>
        <w:ind w:left="0" w:firstLine="402"/>
      </w:pPr>
      <w:rPr>
        <w:rFonts w:hint="eastAsia"/>
      </w:rPr>
    </w:lvl>
    <w:lvl w:ilvl="7" w:tentative="0">
      <w:start w:val="1"/>
      <w:numFmt w:val="lowerLetter"/>
      <w:suff w:val="nothing"/>
      <w:lvlText w:val="%8）"/>
      <w:lvlJc w:val="left"/>
      <w:pPr>
        <w:ind w:left="0" w:firstLine="402"/>
      </w:pPr>
      <w:rPr>
        <w:rFonts w:hint="eastAsia"/>
      </w:rPr>
    </w:lvl>
    <w:lvl w:ilvl="8" w:tentative="0">
      <w:start w:val="1"/>
      <w:numFmt w:val="lowerRoman"/>
      <w:suff w:val="nothing"/>
      <w:lvlText w:val="%9 "/>
      <w:lvlJc w:val="left"/>
      <w:pPr>
        <w:ind w:left="0" w:firstLine="402"/>
      </w:pPr>
      <w:rPr>
        <w:rFonts w:hint="eastAsia"/>
      </w:rPr>
    </w:lvl>
  </w:abstractNum>
  <w:abstractNum w:abstractNumId="1">
    <w:nsid w:val="7E70560E"/>
    <w:multiLevelType w:val="multilevel"/>
    <w:tmpl w:val="7E70560E"/>
    <w:lvl w:ilvl="0" w:tentative="0">
      <w:start w:val="1"/>
      <w:numFmt w:val="decimal"/>
      <w:lvlText w:val="%1."/>
      <w:lvlJc w:val="left"/>
      <w:pPr>
        <w:tabs>
          <w:tab w:val="left" w:pos="420"/>
        </w:tabs>
        <w:ind w:left="420" w:hanging="420"/>
      </w:pPr>
      <w:rPr>
        <w:rFonts w:hint="default"/>
        <w:sz w:val="24"/>
        <w:szCs w:val="24"/>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jJlMzUyMjc5NzkxZGMwMTBkNDM4OGZlM2I3MzU1MWEifQ=="/>
  </w:docVars>
  <w:rsids>
    <w:rsidRoot w:val="00C338A6"/>
    <w:rsid w:val="00066EE7"/>
    <w:rsid w:val="00090EA8"/>
    <w:rsid w:val="000A13A4"/>
    <w:rsid w:val="000A6C98"/>
    <w:rsid w:val="00103708"/>
    <w:rsid w:val="001369E2"/>
    <w:rsid w:val="001A288A"/>
    <w:rsid w:val="001B4755"/>
    <w:rsid w:val="001B58B6"/>
    <w:rsid w:val="001C1645"/>
    <w:rsid w:val="001C68CB"/>
    <w:rsid w:val="001E072C"/>
    <w:rsid w:val="00255B95"/>
    <w:rsid w:val="00271211"/>
    <w:rsid w:val="002A00B8"/>
    <w:rsid w:val="002A67CA"/>
    <w:rsid w:val="00303097"/>
    <w:rsid w:val="00326A65"/>
    <w:rsid w:val="003310BF"/>
    <w:rsid w:val="003316BC"/>
    <w:rsid w:val="00331ABF"/>
    <w:rsid w:val="00381C46"/>
    <w:rsid w:val="003830A4"/>
    <w:rsid w:val="003902B1"/>
    <w:rsid w:val="003A2071"/>
    <w:rsid w:val="003D23A4"/>
    <w:rsid w:val="004203B4"/>
    <w:rsid w:val="004B2D5F"/>
    <w:rsid w:val="004D65EA"/>
    <w:rsid w:val="00510F7C"/>
    <w:rsid w:val="005253BF"/>
    <w:rsid w:val="00582311"/>
    <w:rsid w:val="00584ACB"/>
    <w:rsid w:val="00591840"/>
    <w:rsid w:val="0059193F"/>
    <w:rsid w:val="005B6169"/>
    <w:rsid w:val="005B7AF3"/>
    <w:rsid w:val="005E6E7D"/>
    <w:rsid w:val="005F0886"/>
    <w:rsid w:val="006118AF"/>
    <w:rsid w:val="00621CB9"/>
    <w:rsid w:val="00664EB1"/>
    <w:rsid w:val="00694239"/>
    <w:rsid w:val="006C2A28"/>
    <w:rsid w:val="006E58BB"/>
    <w:rsid w:val="00710257"/>
    <w:rsid w:val="0072635C"/>
    <w:rsid w:val="007F6F44"/>
    <w:rsid w:val="00861918"/>
    <w:rsid w:val="008A0334"/>
    <w:rsid w:val="008A0672"/>
    <w:rsid w:val="008B41D8"/>
    <w:rsid w:val="0096100B"/>
    <w:rsid w:val="00981648"/>
    <w:rsid w:val="00982E69"/>
    <w:rsid w:val="009F7247"/>
    <w:rsid w:val="00A423AC"/>
    <w:rsid w:val="00A73B73"/>
    <w:rsid w:val="00A74483"/>
    <w:rsid w:val="00A9088A"/>
    <w:rsid w:val="00A9358C"/>
    <w:rsid w:val="00A976C4"/>
    <w:rsid w:val="00AB4DB7"/>
    <w:rsid w:val="00AD298C"/>
    <w:rsid w:val="00AD4D1C"/>
    <w:rsid w:val="00AE6449"/>
    <w:rsid w:val="00B131FA"/>
    <w:rsid w:val="00B3794E"/>
    <w:rsid w:val="00B50609"/>
    <w:rsid w:val="00B5427B"/>
    <w:rsid w:val="00B5765B"/>
    <w:rsid w:val="00B81817"/>
    <w:rsid w:val="00BA592F"/>
    <w:rsid w:val="00BB6F17"/>
    <w:rsid w:val="00BF27B6"/>
    <w:rsid w:val="00C32AD6"/>
    <w:rsid w:val="00C338A6"/>
    <w:rsid w:val="00C34EB8"/>
    <w:rsid w:val="00C46F21"/>
    <w:rsid w:val="00C642DC"/>
    <w:rsid w:val="00C67559"/>
    <w:rsid w:val="00CC0721"/>
    <w:rsid w:val="00CD24C7"/>
    <w:rsid w:val="00D246A3"/>
    <w:rsid w:val="00D312C8"/>
    <w:rsid w:val="00D456C6"/>
    <w:rsid w:val="00D5269E"/>
    <w:rsid w:val="00D86029"/>
    <w:rsid w:val="00DA7D80"/>
    <w:rsid w:val="00DC4FB4"/>
    <w:rsid w:val="00E24349"/>
    <w:rsid w:val="00E678F6"/>
    <w:rsid w:val="00E71EC4"/>
    <w:rsid w:val="00EE0EF2"/>
    <w:rsid w:val="00EE1B20"/>
    <w:rsid w:val="00EE726F"/>
    <w:rsid w:val="00FA7663"/>
    <w:rsid w:val="00FD18D6"/>
    <w:rsid w:val="00FF2680"/>
    <w:rsid w:val="033322F4"/>
    <w:rsid w:val="119430D1"/>
    <w:rsid w:val="2524153A"/>
    <w:rsid w:val="4706562F"/>
    <w:rsid w:val="545444C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qFormat/>
    <w:uiPriority w:val="9"/>
    <w:pPr>
      <w:keepNext/>
      <w:keepLines/>
      <w:spacing w:before="340" w:beforeLines="0" w:beforeAutospacing="0" w:after="330" w:afterLines="0" w:afterAutospacing="0" w:line="576" w:lineRule="auto"/>
      <w:ind w:firstLine="0" w:firstLineChars="0"/>
      <w:jc w:val="center"/>
      <w:outlineLvl w:val="0"/>
    </w:pPr>
    <w:rPr>
      <w:rFonts w:ascii="Calibri" w:hAnsi="Calibri" w:eastAsia="宋体"/>
      <w:b/>
      <w:kern w:val="44"/>
      <w:sz w:val="44"/>
      <w:szCs w:val="24"/>
    </w:rPr>
  </w:style>
  <w:style w:type="paragraph" w:styleId="3">
    <w:name w:val="heading 2"/>
    <w:basedOn w:val="1"/>
    <w:next w:val="1"/>
    <w:unhideWhenUsed/>
    <w:qFormat/>
    <w:uiPriority w:val="9"/>
    <w:pPr>
      <w:keepNext/>
      <w:keepLines/>
      <w:numPr>
        <w:ilvl w:val="1"/>
        <w:numId w:val="1"/>
      </w:numPr>
      <w:spacing w:before="260" w:beforeLines="0" w:beforeAutospacing="0" w:after="260" w:afterLines="0" w:afterAutospacing="0" w:line="413" w:lineRule="auto"/>
      <w:ind w:firstLineChars="0"/>
      <w:jc w:val="left"/>
      <w:outlineLvl w:val="1"/>
    </w:pPr>
    <w:rPr>
      <w:rFonts w:ascii="Arial" w:hAnsi="Arial" w:eastAsia="黑体"/>
      <w:b/>
      <w:sz w:val="32"/>
      <w:szCs w:val="24"/>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4">
    <w:name w:val="footer"/>
    <w:basedOn w:val="1"/>
    <w:link w:val="10"/>
    <w:unhideWhenUsed/>
    <w:qFormat/>
    <w:uiPriority w:val="99"/>
    <w:pPr>
      <w:tabs>
        <w:tab w:val="center" w:pos="4153"/>
        <w:tab w:val="right" w:pos="8306"/>
      </w:tabs>
      <w:snapToGrid w:val="0"/>
      <w:jc w:val="left"/>
    </w:pPr>
    <w:rPr>
      <w:sz w:val="18"/>
      <w:szCs w:val="18"/>
    </w:rPr>
  </w:style>
  <w:style w:type="paragraph" w:styleId="5">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List Paragraph"/>
    <w:basedOn w:val="1"/>
    <w:qFormat/>
    <w:uiPriority w:val="34"/>
    <w:pPr>
      <w:ind w:firstLine="420" w:firstLineChars="200"/>
    </w:pPr>
    <w:rPr>
      <w:rFonts w:ascii="Times New Roman" w:hAnsi="Times New Roman" w:eastAsia="宋体" w:cs="Times New Roman"/>
      <w:szCs w:val="24"/>
    </w:rPr>
  </w:style>
  <w:style w:type="character" w:customStyle="1" w:styleId="9">
    <w:name w:val="页眉 字符"/>
    <w:basedOn w:val="7"/>
    <w:link w:val="5"/>
    <w:uiPriority w:val="99"/>
    <w:rPr>
      <w:sz w:val="18"/>
      <w:szCs w:val="18"/>
    </w:rPr>
  </w:style>
  <w:style w:type="character" w:customStyle="1" w:styleId="10">
    <w:name w:val="页脚 字符"/>
    <w:basedOn w:val="7"/>
    <w:link w:val="4"/>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A6C065-DEF4-4EE0-9CAD-DD8B62244042}">
  <ds:schemaRefs/>
</ds:datastoreItem>
</file>

<file path=docProps/app.xml><?xml version="1.0" encoding="utf-8"?>
<Properties xmlns="http://schemas.openxmlformats.org/officeDocument/2006/extended-properties" xmlns:vt="http://schemas.openxmlformats.org/officeDocument/2006/docPropsVTypes">
  <Template>Normal.dotm</Template>
  <Pages>2</Pages>
  <Words>774</Words>
  <Characters>901</Characters>
  <Lines>5</Lines>
  <Paragraphs>1</Paragraphs>
  <TotalTime>182</TotalTime>
  <ScaleCrop>false</ScaleCrop>
  <LinksUpToDate>false</LinksUpToDate>
  <CharactersWithSpaces>915</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2022-04-18T08:58:00Z</dcterms:created>
  <dc:creator>仵巧宇 Wu Qiaoyu</dc:creator>
  <cp:lastModifiedBy>123</cp:lastModifiedBy>
  <dcterms:modified xsi:type="dcterms:W3CDTF">2024-06-03T06:44:52Z</dcterms:modified>
  <cp:revision>93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5F871F402A804BB2BF54AE230494FDD3_12</vt:lpwstr>
  </property>
</Properties>
</file>