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rPr>
      </w:pPr>
      <w:r>
        <w:rPr>
          <w:rFonts w:hint="eastAsia"/>
          <w:sz w:val="36"/>
        </w:rPr>
        <w:t>采购</w:t>
      </w:r>
      <w:r>
        <w:rPr>
          <w:sz w:val="36"/>
        </w:rPr>
        <w:t>需求</w:t>
      </w:r>
    </w:p>
    <w:p>
      <w:pPr>
        <w:spacing w:line="360" w:lineRule="auto"/>
        <w:rPr>
          <w:b/>
          <w:bCs/>
          <w:sz w:val="24"/>
        </w:rPr>
      </w:pPr>
    </w:p>
    <w:p>
      <w:pPr>
        <w:spacing w:line="360" w:lineRule="auto"/>
        <w:rPr>
          <w:b/>
          <w:bCs/>
          <w:sz w:val="24"/>
        </w:rPr>
      </w:pPr>
      <w:r>
        <w:rPr>
          <w:b/>
          <w:bCs/>
          <w:sz w:val="24"/>
        </w:rPr>
        <w:t>一、</w:t>
      </w:r>
      <w:r>
        <w:rPr>
          <w:rFonts w:hint="eastAsia"/>
          <w:b/>
          <w:bCs/>
          <w:sz w:val="24"/>
        </w:rPr>
        <w:t>采购</w:t>
      </w:r>
      <w:r>
        <w:rPr>
          <w:b/>
          <w:bCs/>
          <w:sz w:val="24"/>
        </w:rPr>
        <w:t>项目信息</w:t>
      </w:r>
    </w:p>
    <w:p>
      <w:pPr>
        <w:spacing w:line="360" w:lineRule="auto"/>
        <w:rPr>
          <w:rFonts w:hint="eastAsia" w:ascii="仿宋" w:hAnsi="仿宋" w:eastAsia="仿宋" w:cs="仿宋"/>
          <w:sz w:val="24"/>
          <w:szCs w:val="24"/>
        </w:rPr>
      </w:pPr>
      <w:r>
        <w:rPr>
          <w:sz w:val="24"/>
        </w:rPr>
        <w:t>1</w:t>
      </w:r>
      <w:r>
        <w:rPr>
          <w:rFonts w:hint="eastAsia"/>
          <w:sz w:val="24"/>
        </w:rPr>
        <w:t>.采购</w:t>
      </w:r>
      <w:r>
        <w:rPr>
          <w:sz w:val="24"/>
        </w:rPr>
        <w:t>项目名称：</w:t>
      </w:r>
      <w:r>
        <w:rPr>
          <w:rFonts w:hint="eastAsia" w:ascii="宋体" w:hAnsi="宋体" w:cs="宋体"/>
          <w:kern w:val="0"/>
          <w:sz w:val="24"/>
        </w:rPr>
        <w:t>郴州</w:t>
      </w:r>
      <w:r>
        <w:rPr>
          <w:rFonts w:hint="eastAsia" w:ascii="仿宋" w:hAnsi="仿宋" w:eastAsia="仿宋" w:cs="仿宋"/>
          <w:kern w:val="0"/>
          <w:sz w:val="24"/>
          <w:szCs w:val="24"/>
        </w:rPr>
        <w:t>市第三人民医院</w:t>
      </w:r>
      <w:r>
        <w:rPr>
          <w:rFonts w:hint="eastAsia" w:ascii="仿宋" w:hAnsi="仿宋" w:eastAsia="仿宋" w:cs="仿宋"/>
          <w:sz w:val="24"/>
          <w:szCs w:val="24"/>
        </w:rPr>
        <w:t>网络接入控制系统</w:t>
      </w:r>
      <w:r>
        <w:rPr>
          <w:rFonts w:hint="eastAsia" w:ascii="仿宋" w:hAnsi="仿宋" w:eastAsia="仿宋" w:cs="仿宋"/>
          <w:kern w:val="0"/>
          <w:sz w:val="24"/>
          <w:szCs w:val="24"/>
        </w:rPr>
        <w:t>项目</w:t>
      </w:r>
    </w:p>
    <w:p>
      <w:pPr>
        <w:spacing w:line="360" w:lineRule="auto"/>
        <w:rPr>
          <w:sz w:val="24"/>
        </w:rPr>
      </w:pPr>
      <w:r>
        <w:rPr>
          <w:rFonts w:hint="eastAsia"/>
          <w:sz w:val="24"/>
        </w:rPr>
        <w:t>2.采购项目的数量及预算：</w:t>
      </w:r>
    </w:p>
    <w:tbl>
      <w:tblPr>
        <w:tblStyle w:val="10"/>
        <w:tblW w:w="7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559"/>
        <w:gridCol w:w="99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71"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2268" w:type="dxa"/>
            <w:vAlign w:val="center"/>
          </w:tcPr>
          <w:p>
            <w:pPr>
              <w:jc w:val="center"/>
              <w:rPr>
                <w:rFonts w:ascii="宋体" w:hAnsi="宋体" w:eastAsia="宋体" w:cs="宋体"/>
                <w:b/>
                <w:bCs/>
                <w:sz w:val="24"/>
              </w:rPr>
            </w:pPr>
            <w:r>
              <w:rPr>
                <w:rFonts w:hint="eastAsia" w:ascii="宋体" w:hAnsi="宋体" w:eastAsia="宋体" w:cs="宋体"/>
                <w:b/>
                <w:bCs/>
                <w:sz w:val="24"/>
              </w:rPr>
              <w:t>设备名称</w:t>
            </w:r>
          </w:p>
        </w:tc>
        <w:tc>
          <w:tcPr>
            <w:tcW w:w="1559" w:type="dxa"/>
            <w:vAlign w:val="center"/>
          </w:tcPr>
          <w:p>
            <w:pPr>
              <w:jc w:val="center"/>
              <w:rPr>
                <w:rFonts w:ascii="宋体" w:hAnsi="宋体" w:eastAsia="宋体" w:cs="宋体"/>
                <w:b/>
                <w:bCs/>
                <w:sz w:val="24"/>
              </w:rPr>
            </w:pPr>
            <w:r>
              <w:rPr>
                <w:rFonts w:hint="eastAsia" w:ascii="宋体" w:hAnsi="宋体" w:eastAsia="宋体" w:cs="宋体"/>
                <w:b/>
                <w:bCs/>
                <w:sz w:val="24"/>
              </w:rPr>
              <w:t>数量</w:t>
            </w:r>
          </w:p>
        </w:tc>
        <w:tc>
          <w:tcPr>
            <w:tcW w:w="993" w:type="dxa"/>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1753" w:type="dxa"/>
          </w:tcPr>
          <w:p>
            <w:pPr>
              <w:jc w:val="center"/>
              <w:rPr>
                <w:rFonts w:ascii="宋体" w:hAnsi="宋体" w:eastAsia="宋体" w:cs="宋体"/>
                <w:b/>
                <w:bCs/>
                <w:sz w:val="24"/>
              </w:rPr>
            </w:pPr>
            <w:r>
              <w:rPr>
                <w:rFonts w:hint="eastAsia" w:ascii="宋体" w:hAnsi="宋体" w:eastAsia="宋体" w:cs="宋体"/>
                <w:b/>
                <w:bCs/>
                <w:sz w:val="24"/>
              </w:rPr>
              <w:t>预算</w:t>
            </w:r>
            <w:r>
              <w:rPr>
                <w:rFonts w:ascii="宋体" w:hAnsi="宋体" w:eastAsia="宋体" w:cs="宋体"/>
                <w:b/>
                <w:bCs/>
                <w:sz w:val="24"/>
              </w:rPr>
              <w:t>金额</w:t>
            </w:r>
            <w:r>
              <w:rPr>
                <w:rFonts w:hint="eastAsia" w:ascii="宋体" w:hAnsi="宋体" w:eastAsia="宋体" w:cs="宋体"/>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2268" w:type="dxa"/>
          </w:tcPr>
          <w:p>
            <w:pPr>
              <w:jc w:val="left"/>
              <w:rPr>
                <w:rFonts w:ascii="宋体" w:hAnsi="宋体" w:eastAsia="宋体" w:cs="宋体"/>
                <w:szCs w:val="21"/>
              </w:rPr>
            </w:pPr>
            <w:r>
              <w:rPr>
                <w:rFonts w:hint="eastAsia" w:ascii="宋体" w:hAnsi="宋体" w:eastAsia="宋体" w:cs="宋体"/>
                <w:szCs w:val="21"/>
              </w:rPr>
              <w:t>网络接入控制系统</w:t>
            </w:r>
          </w:p>
        </w:tc>
        <w:tc>
          <w:tcPr>
            <w:tcW w:w="1559" w:type="dxa"/>
            <w:vAlign w:val="center"/>
          </w:tcPr>
          <w:p>
            <w:pPr>
              <w:jc w:val="center"/>
              <w:rPr>
                <w:rFonts w:ascii="宋体" w:hAnsi="宋体" w:eastAsia="宋体" w:cs="宋体"/>
                <w:szCs w:val="21"/>
              </w:rPr>
            </w:pPr>
            <w:r>
              <w:rPr>
                <w:rFonts w:ascii="宋体" w:hAnsi="宋体" w:eastAsia="宋体" w:cs="宋体"/>
                <w:szCs w:val="21"/>
              </w:rPr>
              <w:t>1</w:t>
            </w:r>
          </w:p>
        </w:tc>
        <w:tc>
          <w:tcPr>
            <w:tcW w:w="993"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1753" w:type="dxa"/>
          </w:tcPr>
          <w:p>
            <w:pPr>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60</w:t>
            </w:r>
            <w:r>
              <w:rPr>
                <w:rFonts w:hint="eastAsia" w:ascii="宋体" w:hAnsi="宋体" w:eastAsia="宋体" w:cs="宋体"/>
                <w:szCs w:val="21"/>
              </w:rPr>
              <w:t>00</w:t>
            </w:r>
            <w:bookmarkStart w:id="0" w:name="_GoBack"/>
            <w:bookmarkEnd w:id="0"/>
          </w:p>
        </w:tc>
      </w:tr>
    </w:tbl>
    <w:p>
      <w:pPr>
        <w:tabs>
          <w:tab w:val="left" w:pos="726"/>
        </w:tabs>
        <w:adjustRightInd w:val="0"/>
        <w:snapToGrid w:val="0"/>
        <w:spacing w:line="360" w:lineRule="auto"/>
        <w:rPr>
          <w:rFonts w:ascii="宋体" w:hAnsi="宋体" w:cs="宋体"/>
          <w:b/>
          <w:sz w:val="24"/>
        </w:rPr>
      </w:pPr>
    </w:p>
    <w:p>
      <w:pPr>
        <w:pStyle w:val="18"/>
        <w:numPr>
          <w:ilvl w:val="0"/>
          <w:numId w:val="1"/>
        </w:numPr>
        <w:tabs>
          <w:tab w:val="left" w:pos="726"/>
        </w:tabs>
        <w:adjustRightInd w:val="0"/>
        <w:snapToGrid w:val="0"/>
        <w:spacing w:line="360" w:lineRule="auto"/>
        <w:ind w:firstLineChars="0"/>
        <w:rPr>
          <w:rFonts w:hint="eastAsia" w:ascii="宋体" w:hAnsi="宋体" w:cs="宋体"/>
          <w:b/>
          <w:sz w:val="24"/>
        </w:rPr>
      </w:pPr>
      <w:r>
        <w:rPr>
          <w:rFonts w:hint="eastAsia" w:ascii="宋体" w:hAnsi="宋体" w:cs="宋体"/>
          <w:b/>
          <w:sz w:val="24"/>
        </w:rPr>
        <w:t>投标人资格条件</w:t>
      </w:r>
    </w:p>
    <w:p>
      <w:pPr>
        <w:pStyle w:val="5"/>
        <w:spacing w:line="360" w:lineRule="auto"/>
        <w:ind w:left="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、符合《政府采购法》第二十二条规定的条件；</w:t>
      </w:r>
    </w:p>
    <w:p>
      <w:pPr>
        <w:pStyle w:val="5"/>
        <w:spacing w:line="360" w:lineRule="auto"/>
        <w:ind w:left="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具有独立承担民事责任的能力（提供有效营业执照或事业法人登记证或社会团体法人登记证书等相关证明复印件）；</w:t>
      </w:r>
    </w:p>
    <w:p>
      <w:pPr>
        <w:pStyle w:val="5"/>
        <w:spacing w:line="360" w:lineRule="auto"/>
        <w:ind w:lef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、具有履行合同所必需的设备和专业技术能力的书面声明（提供《响应供应商资格声明函》）；</w:t>
      </w:r>
    </w:p>
    <w:p>
      <w:pPr>
        <w:pStyle w:val="5"/>
        <w:spacing w:line="360" w:lineRule="auto"/>
        <w:ind w:left="0"/>
        <w:rPr>
          <w:rFonts w:ascii="仿宋" w:hAnsi="仿宋" w:eastAsia="仿宋" w:cs="仿宋"/>
          <w:sz w:val="24"/>
        </w:rPr>
      </w:pPr>
      <w:r>
        <w:rPr>
          <w:rFonts w:hint="eastAsia" w:ascii="仿宋" w:hAnsi="仿宋" w:eastAsia="仿宋" w:cs="仿宋"/>
          <w:sz w:val="24"/>
        </w:rPr>
        <w:t>4、提供参加政府采购活动前3年内在经营活动中没有重大违法记录的书面声明（提供《响应供应商资格声明函》）；</w:t>
      </w:r>
    </w:p>
    <w:p>
      <w:pPr>
        <w:adjustRightInd w:val="0"/>
        <w:snapToGrid w:val="0"/>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、供应商未被列入信用中国网站“记录失信被执行人或重大税收违法案件当事人名单或政府采购严重违法失信行为”记录名单；</w:t>
      </w:r>
    </w:p>
    <w:p>
      <w:pPr>
        <w:adjustRightInd w:val="0"/>
        <w:snapToGrid w:val="0"/>
        <w:spacing w:line="360" w:lineRule="auto"/>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、本项目不接受联合体投标。</w:t>
      </w:r>
    </w:p>
    <w:p>
      <w:pPr>
        <w:adjustRightInd w:val="0"/>
        <w:snapToGrid w:val="0"/>
        <w:spacing w:line="360" w:lineRule="auto"/>
        <w:jc w:val="left"/>
        <w:rPr>
          <w:rFonts w:ascii="仿宋" w:hAnsi="仿宋" w:eastAsia="仿宋" w:cs="仿宋"/>
          <w:sz w:val="24"/>
        </w:rPr>
      </w:pPr>
    </w:p>
    <w:p>
      <w:pPr>
        <w:pStyle w:val="18"/>
        <w:numPr>
          <w:ilvl w:val="0"/>
          <w:numId w:val="1"/>
        </w:numPr>
        <w:tabs>
          <w:tab w:val="left" w:pos="726"/>
        </w:tabs>
        <w:adjustRightInd w:val="0"/>
        <w:snapToGrid w:val="0"/>
        <w:spacing w:line="360" w:lineRule="auto"/>
        <w:ind w:firstLineChars="0"/>
        <w:rPr>
          <w:rFonts w:ascii="宋体" w:hAnsi="宋体" w:cs="宋体"/>
          <w:b/>
          <w:sz w:val="24"/>
        </w:rPr>
      </w:pPr>
      <w:r>
        <w:rPr>
          <w:rFonts w:hint="eastAsia" w:ascii="宋体" w:hAnsi="宋体" w:cs="宋体"/>
          <w:b/>
          <w:sz w:val="24"/>
        </w:rPr>
        <w:t>采购内容</w:t>
      </w:r>
    </w:p>
    <w:p>
      <w:pPr>
        <w:pStyle w:val="8"/>
        <w:widowControl/>
        <w:spacing w:beforeAutospacing="0" w:afterAutospacing="0"/>
        <w:ind w:firstLine="480" w:firstLineChars="200"/>
        <w:rPr>
          <w:rFonts w:ascii="仿宋" w:hAnsi="仿宋" w:eastAsia="仿宋" w:cs="仿宋"/>
          <w:kern w:val="2"/>
        </w:rPr>
      </w:pPr>
      <w:r>
        <w:rPr>
          <w:rFonts w:hint="eastAsia" w:ascii="仿宋" w:hAnsi="仿宋" w:eastAsia="仿宋" w:cs="仿宋"/>
          <w:kern w:val="2"/>
        </w:rPr>
        <w:t>要求终端准入及桌面管理产品具备出色的远程管理功能，且为功能一体化设计。设备为软硬件一体化设备，软件功能全开放，系统应当具备小型、轻量化的客户端插件，可以保证插件加载后，大部分单位电脑的流畅运行，并确保兼容老旧电脑（WINXP系统等）的安装和使用，产品至少包含1000个LICENSE授权，并支持后续升级扩容。★项目为核心要求项，所投产品必须满足。</w:t>
      </w:r>
    </w:p>
    <w:p>
      <w:pPr>
        <w:pStyle w:val="8"/>
        <w:widowControl/>
        <w:spacing w:beforeAutospacing="0" w:afterAutospacing="0"/>
        <w:ind w:firstLine="480" w:firstLineChars="200"/>
        <w:rPr>
          <w:rFonts w:ascii="仿宋" w:hAnsi="仿宋" w:eastAsia="仿宋" w:cs="仿宋"/>
          <w:kern w:val="2"/>
        </w:rPr>
      </w:pPr>
    </w:p>
    <w:p>
      <w:pPr>
        <w:pStyle w:val="8"/>
        <w:widowControl/>
        <w:spacing w:beforeAutospacing="0" w:afterAutospacing="0"/>
        <w:ind w:firstLine="480" w:firstLineChars="200"/>
        <w:rPr>
          <w:rFonts w:hint="eastAsia" w:ascii="仿宋" w:hAnsi="仿宋" w:eastAsia="仿宋" w:cs="仿宋"/>
          <w:kern w:val="2"/>
        </w:rPr>
      </w:pPr>
    </w:p>
    <w:p/>
    <w:tbl>
      <w:tblPr>
        <w:tblStyle w:val="10"/>
        <w:tblW w:w="8378" w:type="dxa"/>
        <w:tblInd w:w="0" w:type="dxa"/>
        <w:tblLayout w:type="autofit"/>
        <w:tblCellMar>
          <w:top w:w="0" w:type="dxa"/>
          <w:left w:w="0" w:type="dxa"/>
          <w:bottom w:w="0" w:type="dxa"/>
          <w:right w:w="0" w:type="dxa"/>
        </w:tblCellMar>
      </w:tblPr>
      <w:tblGrid>
        <w:gridCol w:w="685"/>
        <w:gridCol w:w="1404"/>
        <w:gridCol w:w="6289"/>
      </w:tblGrid>
      <w:tr>
        <w:trPr>
          <w:trHeight w:val="256" w:hRule="atLeast"/>
        </w:trPr>
        <w:tc>
          <w:tcPr>
            <w:tcW w:w="2089" w:type="dxa"/>
            <w:gridSpan w:val="2"/>
            <w:tcBorders>
              <w:top w:val="single" w:color="auto" w:sz="6" w:space="0"/>
              <w:left w:val="single" w:color="auto" w:sz="6" w:space="0"/>
              <w:bottom w:val="single" w:color="auto" w:sz="6" w:space="0"/>
              <w:right w:val="single" w:color="auto" w:sz="6" w:space="0"/>
            </w:tcBorders>
            <w:shd w:val="clear" w:color="auto" w:fill="A6A6A6"/>
            <w:tcMar>
              <w:left w:w="105" w:type="dxa"/>
              <w:right w:w="105" w:type="dxa"/>
            </w:tcMar>
            <w:vAlign w:val="center"/>
          </w:tcPr>
          <w:p>
            <w:pPr>
              <w:pStyle w:val="8"/>
              <w:widowControl/>
              <w:spacing w:beforeAutospacing="0" w:afterAutospacing="0"/>
              <w:jc w:val="center"/>
            </w:pPr>
            <w:r>
              <w:rPr>
                <w:rStyle w:val="12"/>
                <w:rFonts w:ascii="微软雅黑" w:hAnsi="微软雅黑" w:eastAsia="微软雅黑" w:cs="微软雅黑"/>
                <w:b w:val="0"/>
                <w:bCs/>
              </w:rPr>
              <w:t>指标类型</w:t>
            </w:r>
          </w:p>
        </w:tc>
        <w:tc>
          <w:tcPr>
            <w:tcW w:w="6289" w:type="dxa"/>
            <w:tcBorders>
              <w:top w:val="single" w:color="auto" w:sz="6" w:space="0"/>
              <w:left w:val="nil"/>
              <w:bottom w:val="single" w:color="auto" w:sz="6" w:space="0"/>
              <w:right w:val="single" w:color="auto" w:sz="6" w:space="0"/>
            </w:tcBorders>
            <w:shd w:val="clear" w:color="auto" w:fill="A6A6A6"/>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指标要求</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Fonts w:hint="eastAsia" w:ascii="微软雅黑" w:hAnsi="微软雅黑" w:eastAsia="微软雅黑" w:cs="微软雅黑"/>
                <w:b/>
                <w:sz w:val="18"/>
                <w:szCs w:val="18"/>
              </w:rPr>
              <w:t>★</w:t>
            </w:r>
            <w:r>
              <w:rPr>
                <w:rStyle w:val="12"/>
                <w:rFonts w:hint="eastAsia" w:ascii="微软雅黑" w:hAnsi="微软雅黑" w:eastAsia="微软雅黑" w:cs="微软雅黑"/>
                <w:b w:val="0"/>
                <w:bCs/>
              </w:rPr>
              <w:t>配置要求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eastAsia="微软雅黑"/>
              </w:rPr>
            </w:pPr>
            <w:r>
              <w:rPr>
                <w:rFonts w:hint="eastAsia" w:ascii="仿宋" w:hAnsi="仿宋" w:eastAsia="仿宋" w:cs="仿宋"/>
                <w:kern w:val="2"/>
              </w:rPr>
              <w:t>至少包含1000个LICENSE，并支持后续升级。1U机架式，6个千兆电口、2个USB 2.0接口、1个VGA接口，1个扩展槽。</w:t>
            </w:r>
          </w:p>
        </w:tc>
      </w:tr>
      <w:tr>
        <w:tblPrEx>
          <w:tblCellMar>
            <w:top w:w="0" w:type="dxa"/>
            <w:left w:w="0" w:type="dxa"/>
            <w:bottom w:w="0" w:type="dxa"/>
            <w:right w:w="0" w:type="dxa"/>
          </w:tblCellMar>
        </w:tblPrEx>
        <w:trPr>
          <w:trHeight w:val="987"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架构要求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标准采用B/S架构，便利易操作管理设计；</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支持VPN/拨号接入、分支机构联动管理；</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服务器系统采用Linux操作系统；</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提供断电保护机制，确保异常时网络不受影响。</w:t>
            </w:r>
          </w:p>
        </w:tc>
      </w:tr>
      <w:tr>
        <w:tblPrEx>
          <w:tblCellMar>
            <w:top w:w="0" w:type="dxa"/>
            <w:left w:w="0" w:type="dxa"/>
            <w:bottom w:w="0" w:type="dxa"/>
            <w:right w:w="0" w:type="dxa"/>
          </w:tblCellMar>
        </w:tblPrEx>
        <w:trPr>
          <w:trHeight w:val="500" w:hRule="atLeast"/>
        </w:trPr>
        <w:tc>
          <w:tcPr>
            <w:tcW w:w="208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Fonts w:hint="eastAsia" w:ascii="微软雅黑" w:hAnsi="微软雅黑" w:eastAsia="微软雅黑" w:cs="微软雅黑"/>
                <w:b/>
                <w:sz w:val="18"/>
                <w:szCs w:val="18"/>
              </w:rPr>
              <w:t>★</w:t>
            </w:r>
            <w:r>
              <w:rPr>
                <w:rStyle w:val="12"/>
                <w:rFonts w:hint="eastAsia" w:ascii="微软雅黑" w:hAnsi="微软雅黑" w:eastAsia="微软雅黑" w:cs="微软雅黑"/>
                <w:b w:val="0"/>
                <w:bCs/>
              </w:rPr>
              <w:t>性能要求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客户端插件支持X32\X64平台的Win2003/XP/Vista/WIN7/WIN8/WIN10操作系统；客户端插件支持银河麒麟、UOS ARM版以及中标麒麟操作系统。</w:t>
            </w:r>
          </w:p>
        </w:tc>
      </w:tr>
      <w:tr>
        <w:tblPrEx>
          <w:tblCellMar>
            <w:top w:w="0" w:type="dxa"/>
            <w:left w:w="0" w:type="dxa"/>
            <w:bottom w:w="0" w:type="dxa"/>
            <w:right w:w="0" w:type="dxa"/>
          </w:tblCellMar>
        </w:tblPrEx>
        <w:trPr>
          <w:trHeight w:val="500" w:hRule="atLeast"/>
        </w:trPr>
        <w:tc>
          <w:tcPr>
            <w:tcW w:w="208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安全要求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平台与客户端之间通讯、策略下发、文件分发等交互全程采用https加密协议和定制端口（非443）；</w:t>
            </w:r>
          </w:p>
        </w:tc>
      </w:tr>
      <w:tr>
        <w:tblPrEx>
          <w:tblCellMar>
            <w:top w:w="0" w:type="dxa"/>
            <w:left w:w="0" w:type="dxa"/>
            <w:bottom w:w="0" w:type="dxa"/>
            <w:right w:w="0" w:type="dxa"/>
          </w:tblCellMar>
        </w:tblPrEx>
        <w:trPr>
          <w:trHeight w:val="1475" w:hRule="atLeast"/>
        </w:trPr>
        <w:tc>
          <w:tcPr>
            <w:tcW w:w="208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平台要求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产品控制平台管理账户支持三权分立，具有系统管理员、系统审计员、系统操作员管理账号；</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系统支持能够根据管理需要自定义添加账号；</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支持Syslog日志服务器对接设置，可传输系统登录、系统操作、终端用户登陆、终端用户修复、移动用户登陆、移动用户修复、高级用户登录、来宾用户登录等日志信息；</w:t>
            </w:r>
          </w:p>
        </w:tc>
      </w:tr>
      <w:tr>
        <w:tblPrEx>
          <w:tblCellMar>
            <w:top w:w="0" w:type="dxa"/>
            <w:left w:w="0" w:type="dxa"/>
            <w:bottom w:w="0" w:type="dxa"/>
            <w:right w:w="0" w:type="dxa"/>
          </w:tblCellMar>
        </w:tblPrEx>
        <w:trPr>
          <w:trHeight w:val="987" w:hRule="atLeast"/>
        </w:trPr>
        <w:tc>
          <w:tcPr>
            <w:tcW w:w="208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准入技术要求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准入技术支持VLAN安全网关、策略路由、DHCP、端口复制、透明网桥、Web-portal等方式；</w:t>
            </w:r>
          </w:p>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可对网络划分不同的网络访问区域，至少能够划分安全用户访问区域、来宾用户访问区域、隔离用户访问区域，各访问区域可以根据实际需要进行修改；</w:t>
            </w:r>
          </w:p>
        </w:tc>
      </w:tr>
      <w:tr>
        <w:tblPrEx>
          <w:tblCellMar>
            <w:top w:w="0" w:type="dxa"/>
            <w:left w:w="0" w:type="dxa"/>
            <w:bottom w:w="0" w:type="dxa"/>
            <w:right w:w="0" w:type="dxa"/>
          </w:tblCellMar>
        </w:tblPrEx>
        <w:trPr>
          <w:trHeight w:val="744"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准入实施要求</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支持无客户端违规外联检测的功能；</w:t>
            </w:r>
          </w:p>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支持阻断跨NAT路由器下未安装插件的计算机；</w:t>
            </w:r>
          </w:p>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能够与终端的安全测评结果联动，根据测评结果进行终端的阻断与放行处理；</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网络拓扑</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支持对交换机及路由器等网络设备进行自动发现及展现，展示出网内拓扑情况；违规接入的终端可在拓扑图中通过上联交换机进行颜色报警或提示；</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IP地址管理</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支持以IP地址池的方式图形化查看网络内的已占用、未占用、长期离线和非法入侵IP，可在地址池中的各地址添加备注，并有报警和图表展示功能。</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Fonts w:hint="eastAsia" w:ascii="微软雅黑" w:hAnsi="微软雅黑" w:eastAsia="微软雅黑" w:cs="微软雅黑"/>
                <w:b/>
                <w:sz w:val="18"/>
                <w:szCs w:val="18"/>
              </w:rPr>
              <w:t>★</w:t>
            </w:r>
            <w:r>
              <w:rPr>
                <w:rStyle w:val="12"/>
                <w:rFonts w:hint="eastAsia" w:ascii="微软雅黑" w:hAnsi="微软雅黑" w:eastAsia="微软雅黑" w:cs="微软雅黑"/>
                <w:b w:val="0"/>
                <w:bCs/>
              </w:rPr>
              <w:t>国产操作系统管控</w:t>
            </w:r>
          </w:p>
        </w:tc>
        <w:tc>
          <w:tcPr>
            <w:tcW w:w="628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支持银河麒麟V10 ARM MIPS、统信UOSV20 ARM MIPS版操作系统的登录认证、资产收集、U盘管控和进程黑名单管理以及非法外联报警。</w:t>
            </w:r>
          </w:p>
        </w:tc>
      </w:tr>
      <w:tr>
        <w:tblPrEx>
          <w:tblCellMar>
            <w:top w:w="0" w:type="dxa"/>
            <w:left w:w="0" w:type="dxa"/>
            <w:bottom w:w="0" w:type="dxa"/>
            <w:right w:w="0" w:type="dxa"/>
          </w:tblCellMar>
        </w:tblPrEx>
        <w:trPr>
          <w:trHeight w:val="744"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设备信息</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通过全局设备感知技术自动发现网络中的PC、移动终端、智能设备和哑终端，可详细展示设备的IP、MAC、主机名、操作系统、设备更新时间、在线状态和准入可控状态；并可对设备进行信任、隔离等操作，支持批量操作。</w:t>
            </w:r>
          </w:p>
        </w:tc>
      </w:tr>
      <w:tr>
        <w:tblPrEx>
          <w:tblCellMar>
            <w:top w:w="0" w:type="dxa"/>
            <w:left w:w="0" w:type="dxa"/>
            <w:bottom w:w="0" w:type="dxa"/>
            <w:right w:w="0" w:type="dxa"/>
          </w:tblCellMar>
        </w:tblPrEx>
        <w:trPr>
          <w:trHeight w:val="1475"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Style w:val="12"/>
                <w:rFonts w:ascii="微软雅黑" w:hAnsi="微软雅黑" w:eastAsia="微软雅黑" w:cs="微软雅黑"/>
                <w:bCs/>
              </w:rPr>
            </w:pPr>
            <w:r>
              <w:rPr>
                <w:rFonts w:hint="eastAsia" w:ascii="微软雅黑" w:hAnsi="微软雅黑" w:eastAsia="微软雅黑" w:cs="微软雅黑"/>
                <w:b/>
                <w:sz w:val="18"/>
                <w:szCs w:val="18"/>
              </w:rPr>
              <w:t>★</w:t>
            </w:r>
            <w:r>
              <w:rPr>
                <w:rFonts w:hint="eastAsia" w:ascii="微软雅黑" w:hAnsi="微软雅黑" w:eastAsia="微软雅黑"/>
                <w:b/>
                <w:sz w:val="18"/>
                <w:szCs w:val="18"/>
              </w:rPr>
              <w:t>远程协助</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仿宋" w:hAnsi="仿宋" w:eastAsia="仿宋" w:cs="仿宋"/>
                <w:sz w:val="24"/>
                <w:szCs w:val="24"/>
              </w:rPr>
            </w:pPr>
            <w:r>
              <w:rPr>
                <w:rFonts w:ascii="仿宋" w:hAnsi="仿宋" w:eastAsia="仿宋" w:cs="仿宋"/>
                <w:sz w:val="24"/>
                <w:szCs w:val="24"/>
              </w:rPr>
              <w:t>集成多种桌面支持工具，包括：远程对话、远程文件传输、远程执行、远程重启、远程截屏等功能；</w:t>
            </w:r>
            <w:r>
              <w:rPr>
                <w:rFonts w:hint="eastAsia" w:ascii="仿宋" w:hAnsi="仿宋" w:eastAsia="仿宋" w:cs="仿宋"/>
                <w:sz w:val="24"/>
                <w:szCs w:val="24"/>
              </w:rPr>
              <w:t>支持客户端主动/被动进行远程连接。远程控制不依赖于用户是否登录，也可以通过远程控制进行用户的注销和切换。管理端在控制用户端时，可以远程关闭用户端键鼠，实现完全控制，远程桌面管理发起时，应保证画面的实时性，实现操作和响应画面传输在1秒之内完成，支持全局热键远程执行的应用；</w:t>
            </w:r>
          </w:p>
          <w:p>
            <w:pPr>
              <w:rPr>
                <w:rFonts w:ascii="仿宋" w:hAnsi="仿宋" w:eastAsia="仿宋" w:cs="仿宋"/>
                <w:sz w:val="24"/>
                <w:szCs w:val="24"/>
              </w:rPr>
            </w:pPr>
            <w:r>
              <w:rPr>
                <w:rFonts w:hint="eastAsia" w:ascii="仿宋" w:hAnsi="仿宋" w:eastAsia="仿宋" w:cs="仿宋"/>
                <w:sz w:val="24"/>
                <w:szCs w:val="24"/>
              </w:rPr>
              <w:t>远程会话功能支持文字交互，支持强制与请求交互两种远程控制方式；</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例外设置</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支持针对特殊终端的白名单放行处理，无须安装插件测评即可入网；放行依据包括IP地址、MAC地址、IP地址段；</w:t>
            </w:r>
          </w:p>
        </w:tc>
      </w:tr>
      <w:tr>
        <w:tblPrEx>
          <w:tblCellMar>
            <w:top w:w="0" w:type="dxa"/>
            <w:left w:w="0" w:type="dxa"/>
            <w:bottom w:w="0" w:type="dxa"/>
            <w:right w:w="0" w:type="dxa"/>
          </w:tblCellMar>
        </w:tblPrEx>
        <w:trPr>
          <w:trHeight w:val="1719" w:hRule="atLeast"/>
        </w:trPr>
        <w:tc>
          <w:tcPr>
            <w:tcW w:w="68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pPr>
            <w:r>
              <w:rPr>
                <w:rStyle w:val="12"/>
                <w:rFonts w:hint="eastAsia" w:ascii="微软雅黑" w:hAnsi="微软雅黑" w:eastAsia="微软雅黑" w:cs="微软雅黑"/>
                <w:b w:val="0"/>
                <w:bCs/>
              </w:rPr>
              <w:t>违规外联管理</w:t>
            </w:r>
          </w:p>
        </w:tc>
        <w:tc>
          <w:tcPr>
            <w:tcW w:w="140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pPr>
            <w:r>
              <w:rPr>
                <w:rStyle w:val="12"/>
                <w:rFonts w:hint="eastAsia" w:ascii="微软雅黑" w:hAnsi="微软雅黑" w:eastAsia="微软雅黑" w:cs="微软雅黑"/>
                <w:b w:val="0"/>
                <w:bCs/>
              </w:rPr>
              <w:t>事前预防管理</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禁止使用无线网卡；</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禁用3G无线上网卡；</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禁止手机代理上网；</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禁止使用无线热点；</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禁止使用其它网卡；（支持对虚拟网卡的单独设置）</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IP/MAC绑定，可设置允许修改DNS；</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禁止使用调制解调器。</w:t>
            </w:r>
          </w:p>
        </w:tc>
      </w:tr>
      <w:tr>
        <w:tblPrEx>
          <w:tblCellMar>
            <w:top w:w="0" w:type="dxa"/>
            <w:left w:w="0" w:type="dxa"/>
            <w:bottom w:w="0" w:type="dxa"/>
            <w:right w:w="0" w:type="dxa"/>
          </w:tblCellMar>
        </w:tblPrEx>
        <w:trPr>
          <w:trHeight w:val="1475" w:hRule="atLeast"/>
        </w:trPr>
        <w:tc>
          <w:tcPr>
            <w:tcW w:w="68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140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事中阻断报警处理</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能够及时发现终端发生违规外联或具备外联的能力；</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违规外联后能够对违规终端进行报警提示操作，支持自定义终端报警内容；</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触发报警后，支持对终端进行放置隔离区、锁定屏幕、关闭计算机等应急处理措施；</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触发报警后，支持向管理员发送报警短信、报警邮件功能；</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触发报警关闭计算机时，支持进行关机前的缓冲时间设置；</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支持内网网段自定义功能，可自由调整内网IP范围。</w:t>
            </w:r>
          </w:p>
        </w:tc>
      </w:tr>
      <w:tr>
        <w:tblPrEx>
          <w:tblCellMar>
            <w:top w:w="0" w:type="dxa"/>
            <w:left w:w="0" w:type="dxa"/>
            <w:bottom w:w="0" w:type="dxa"/>
            <w:right w:w="0" w:type="dxa"/>
          </w:tblCellMar>
        </w:tblPrEx>
        <w:trPr>
          <w:trHeight w:val="744" w:hRule="atLeast"/>
        </w:trPr>
        <w:tc>
          <w:tcPr>
            <w:tcW w:w="68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140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事后报表统计管理</w:t>
            </w:r>
          </w:p>
        </w:tc>
        <w:tc>
          <w:tcPr>
            <w:tcW w:w="62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支持对违规外联行为的事后数据统计汇总行为，汇总分析结果支持通过趋势图的形式进行展示；</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支持对报警信息的导出、打印功能。</w:t>
            </w:r>
          </w:p>
        </w:tc>
      </w:tr>
      <w:tr>
        <w:tblPrEx>
          <w:tblCellMar>
            <w:top w:w="0" w:type="dxa"/>
            <w:left w:w="0" w:type="dxa"/>
            <w:bottom w:w="0" w:type="dxa"/>
            <w:right w:w="0" w:type="dxa"/>
          </w:tblCellMar>
        </w:tblPrEx>
        <w:trPr>
          <w:trHeight w:val="256"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安全测评</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支持安全测评项目的在线一键检测及一键全部修复功能；</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USB禁止使用</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支持对存储类USB设备进行禁用，不影响非存储类USB外设使用；</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支持对USB接口使用进行只读或读写权限设置，禁止通过USB接口向外拷贝数据。</w:t>
            </w:r>
          </w:p>
        </w:tc>
      </w:tr>
      <w:tr>
        <w:tblPrEx>
          <w:tblCellMar>
            <w:top w:w="0" w:type="dxa"/>
            <w:left w:w="0" w:type="dxa"/>
            <w:bottom w:w="0" w:type="dxa"/>
            <w:right w:w="0" w:type="dxa"/>
          </w:tblCellMar>
        </w:tblPrEx>
        <w:trPr>
          <w:trHeight w:val="256"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USB使用申请</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终端使用USB时可以主动发起申请操作，申请通过前不允许使用USB存储介质；</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Fonts w:hint="eastAsia" w:ascii="微软雅黑" w:hAnsi="微软雅黑" w:eastAsia="微软雅黑" w:cs="微软雅黑"/>
                <w:b/>
                <w:sz w:val="18"/>
                <w:szCs w:val="18"/>
              </w:rPr>
              <w:t>★</w:t>
            </w:r>
            <w:r>
              <w:rPr>
                <w:rStyle w:val="12"/>
                <w:rFonts w:hint="eastAsia" w:ascii="微软雅黑" w:hAnsi="微软雅黑" w:eastAsia="微软雅黑" w:cs="微软雅黑"/>
                <w:b w:val="0"/>
                <w:bCs/>
              </w:rPr>
              <w:t>USB使用审计</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支持对USB存储介质的插拔行为进行记录；</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支持对USB存储介质内的文件操作行为进行详细记录。</w:t>
            </w:r>
          </w:p>
        </w:tc>
      </w:tr>
      <w:tr>
        <w:tblPrEx>
          <w:tblCellMar>
            <w:top w:w="0" w:type="dxa"/>
            <w:left w:w="0" w:type="dxa"/>
            <w:bottom w:w="0" w:type="dxa"/>
            <w:right w:w="0" w:type="dxa"/>
          </w:tblCellMar>
        </w:tblPrEx>
        <w:trPr>
          <w:trHeight w:val="744" w:hRule="atLeast"/>
        </w:trPr>
        <w:tc>
          <w:tcPr>
            <w:tcW w:w="2089" w:type="dxa"/>
            <w:gridSpan w:val="2"/>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pPr>
            <w:r>
              <w:rPr>
                <w:rStyle w:val="12"/>
                <w:rFonts w:hint="eastAsia" w:ascii="微软雅黑" w:hAnsi="微软雅黑" w:eastAsia="微软雅黑" w:cs="微软雅黑"/>
                <w:b w:val="0"/>
                <w:bCs/>
              </w:rPr>
              <w:t>终端安全规范</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支持禁用终端所有USB存储设备、蓝牙设备、打印机、便携式设备、光驱介质使用；</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支持禁用终端所有无线网卡、3G无线上网卡、手机代理上网、无线热点、调制解调器、其它网卡（含虚拟网卡，除与服务器连接应用的网卡）外联设备；</w:t>
            </w:r>
          </w:p>
        </w:tc>
      </w:tr>
      <w:tr>
        <w:tblPrEx>
          <w:tblCellMar>
            <w:top w:w="0" w:type="dxa"/>
            <w:left w:w="0" w:type="dxa"/>
            <w:bottom w:w="0" w:type="dxa"/>
            <w:right w:w="0" w:type="dxa"/>
          </w:tblCellMar>
        </w:tblPrEx>
        <w:trPr>
          <w:trHeight w:val="25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支持IP/MAC绑定（可设定允许修改DNS）；</w:t>
            </w:r>
          </w:p>
        </w:tc>
      </w:tr>
      <w:tr>
        <w:tblPrEx>
          <w:tblCellMar>
            <w:top w:w="0" w:type="dxa"/>
            <w:left w:w="0" w:type="dxa"/>
            <w:bottom w:w="0" w:type="dxa"/>
            <w:right w:w="0" w:type="dxa"/>
          </w:tblCellMar>
        </w:tblPrEx>
        <w:trPr>
          <w:trHeight w:val="744"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rPr>
                <w:rStyle w:val="12"/>
                <w:rFonts w:ascii="微软雅黑" w:hAnsi="微软雅黑" w:eastAsia="微软雅黑" w:cs="微软雅黑"/>
                <w:bCs/>
              </w:rPr>
            </w:pPr>
            <w:r>
              <w:rPr>
                <w:rStyle w:val="12"/>
                <w:rFonts w:hint="eastAsia" w:ascii="微软雅黑" w:hAnsi="微软雅黑" w:eastAsia="微软雅黑" w:cs="微软雅黑"/>
                <w:b w:val="0"/>
                <w:bCs/>
              </w:rPr>
              <w:t>终端行为审计</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支持针对终端的行为安全审计功能，包括上网行为、用户行为、文件操作等行为，具体包括终端浏览网站审计、终端应用程序审计、终端文件操作审计、终端USB插拔审计、终端USB文件操作审计功能。</w:t>
            </w:r>
          </w:p>
        </w:tc>
      </w:tr>
      <w:tr>
        <w:tblPrEx>
          <w:tblCellMar>
            <w:top w:w="0" w:type="dxa"/>
            <w:left w:w="0" w:type="dxa"/>
            <w:bottom w:w="0" w:type="dxa"/>
            <w:right w:w="0" w:type="dxa"/>
          </w:tblCellMar>
        </w:tblPrEx>
        <w:trPr>
          <w:trHeight w:val="500"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rPr>
                <w:rStyle w:val="12"/>
                <w:rFonts w:ascii="微软雅黑" w:hAnsi="微软雅黑" w:eastAsia="微软雅黑" w:cs="微软雅黑"/>
                <w:bCs/>
              </w:rPr>
            </w:pPr>
            <w:r>
              <w:rPr>
                <w:rStyle w:val="12"/>
                <w:rFonts w:hint="eastAsia" w:ascii="微软雅黑" w:hAnsi="微软雅黑" w:eastAsia="微软雅黑" w:cs="微软雅黑"/>
                <w:b w:val="0"/>
                <w:bCs/>
              </w:rPr>
              <w:t>水印信息</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wordWrap w:val="0"/>
              <w:spacing w:beforeAutospacing="0" w:afterAutospacing="0"/>
              <w:rPr>
                <w:rFonts w:ascii="仿宋" w:hAnsi="仿宋" w:eastAsia="仿宋" w:cs="仿宋"/>
                <w:kern w:val="2"/>
              </w:rPr>
            </w:pPr>
            <w:r>
              <w:rPr>
                <w:rFonts w:hint="eastAsia" w:ascii="仿宋" w:hAnsi="仿宋" w:eastAsia="仿宋" w:cs="仿宋"/>
                <w:kern w:val="2"/>
              </w:rPr>
              <w:t>支持屏幕水印防护，内容包含用户名、所属部门、用户真实姓名、IP地址、MAC地址、计算机名称、终端时间等，同时支持自定义水印内容；</w:t>
            </w:r>
          </w:p>
        </w:tc>
      </w:tr>
      <w:tr>
        <w:tblPrEx>
          <w:tblCellMar>
            <w:top w:w="0" w:type="dxa"/>
            <w:left w:w="0" w:type="dxa"/>
            <w:bottom w:w="0" w:type="dxa"/>
            <w:right w:w="0" w:type="dxa"/>
          </w:tblCellMar>
        </w:tblPrEx>
        <w:trPr>
          <w:trHeight w:val="987" w:hRule="atLeast"/>
        </w:trPr>
        <w:tc>
          <w:tcPr>
            <w:tcW w:w="2089"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rPr>
                <w:rStyle w:val="12"/>
                <w:rFonts w:ascii="微软雅黑" w:hAnsi="微软雅黑" w:eastAsia="微软雅黑" w:cs="微软雅黑"/>
                <w:bCs/>
              </w:rPr>
            </w:pPr>
            <w:r>
              <w:rPr>
                <w:rStyle w:val="12"/>
                <w:rFonts w:hint="eastAsia" w:ascii="微软雅黑" w:hAnsi="微软雅黑" w:eastAsia="微软雅黑" w:cs="微软雅黑"/>
                <w:b w:val="0"/>
                <w:bCs/>
              </w:rPr>
              <w:t>报表分析</w:t>
            </w:r>
          </w:p>
        </w:tc>
        <w:tc>
          <w:tcPr>
            <w:tcW w:w="62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在线状态报表：通过在线状态分析功能，可以对入网终端的在线情况进行分析，包括在线终端、离线终端、长期离线终端的按日期分析功能，并支持按部门分别统计以上终端的分析内容，同时，支持以上数据按照汇总数据与详情数据的分别展示，支持对以上数据的高级查询、导出、打印等操作；</w:t>
            </w:r>
          </w:p>
        </w:tc>
      </w:tr>
      <w:tr>
        <w:tblPrEx>
          <w:tblCellMar>
            <w:top w:w="0" w:type="dxa"/>
            <w:left w:w="0" w:type="dxa"/>
            <w:bottom w:w="0" w:type="dxa"/>
            <w:right w:w="0" w:type="dxa"/>
          </w:tblCellMar>
        </w:tblPrEx>
        <w:trPr>
          <w:trHeight w:val="624" w:hRule="atLeast"/>
        </w:trPr>
        <w:tc>
          <w:tcPr>
            <w:tcW w:w="2089" w:type="dxa"/>
            <w:gridSpan w:val="2"/>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jc w:val="center"/>
              <w:rPr>
                <w:rStyle w:val="12"/>
                <w:rFonts w:ascii="微软雅黑" w:hAnsi="微软雅黑" w:eastAsia="微软雅黑" w:cs="微软雅黑"/>
                <w:b w:val="0"/>
                <w:bCs/>
              </w:rPr>
            </w:pPr>
            <w:r>
              <w:rPr>
                <w:rStyle w:val="12"/>
                <w:rFonts w:hint="eastAsia" w:ascii="微软雅黑" w:hAnsi="微软雅黑" w:eastAsia="微软雅黑" w:cs="微软雅黑"/>
                <w:b w:val="0"/>
                <w:bCs/>
              </w:rPr>
              <w:t>资质证明</w:t>
            </w:r>
          </w:p>
        </w:tc>
        <w:tc>
          <w:tcPr>
            <w:tcW w:w="6289"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8"/>
              <w:widowControl/>
              <w:spacing w:beforeAutospacing="0" w:afterAutospacing="0"/>
              <w:rPr>
                <w:rFonts w:ascii="仿宋" w:hAnsi="仿宋" w:eastAsia="仿宋" w:cs="仿宋"/>
                <w:kern w:val="2"/>
              </w:rPr>
            </w:pPr>
            <w:r>
              <w:rPr>
                <w:rFonts w:hint="eastAsia" w:ascii="仿宋" w:hAnsi="仿宋" w:eastAsia="仿宋" w:cs="仿宋"/>
                <w:kern w:val="2"/>
              </w:rPr>
              <w:t>具备公安部计算机信息系统安全专用产品销售许可证及检测报告</w:t>
            </w:r>
          </w:p>
          <w:p>
            <w:pPr>
              <w:pStyle w:val="8"/>
              <w:widowControl/>
              <w:spacing w:beforeAutospacing="0" w:afterAutospacing="0"/>
              <w:rPr>
                <w:rFonts w:ascii="仿宋" w:hAnsi="仿宋" w:eastAsia="仿宋" w:cs="仿宋"/>
                <w:kern w:val="2"/>
              </w:rPr>
            </w:pPr>
            <w:r>
              <w:rPr>
                <w:rFonts w:hint="eastAsia" w:ascii="仿宋" w:hAnsi="仿宋" w:eastAsia="仿宋" w:cs="仿宋"/>
                <w:kern w:val="2"/>
              </w:rPr>
              <w:t>生产厂商具备软件开发成熟度CMMI5认证</w:t>
            </w:r>
          </w:p>
        </w:tc>
      </w:tr>
      <w:tr>
        <w:tblPrEx>
          <w:tblCellMar>
            <w:top w:w="0" w:type="dxa"/>
            <w:left w:w="0" w:type="dxa"/>
            <w:bottom w:w="0" w:type="dxa"/>
            <w:right w:w="0" w:type="dxa"/>
          </w:tblCellMar>
        </w:tblPrEx>
        <w:trPr>
          <w:trHeight w:val="36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r>
        <w:tblPrEx>
          <w:tblCellMar>
            <w:top w:w="0" w:type="dxa"/>
            <w:left w:w="0" w:type="dxa"/>
            <w:bottom w:w="0" w:type="dxa"/>
            <w:right w:w="0" w:type="dxa"/>
          </w:tblCellMar>
        </w:tblPrEx>
        <w:trPr>
          <w:trHeight w:val="36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r>
        <w:tblPrEx>
          <w:tblCellMar>
            <w:top w:w="0" w:type="dxa"/>
            <w:left w:w="0" w:type="dxa"/>
            <w:bottom w:w="0" w:type="dxa"/>
            <w:right w:w="0" w:type="dxa"/>
          </w:tblCellMar>
        </w:tblPrEx>
        <w:trPr>
          <w:trHeight w:val="36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r>
        <w:tblPrEx>
          <w:tblCellMar>
            <w:top w:w="0" w:type="dxa"/>
            <w:left w:w="0" w:type="dxa"/>
            <w:bottom w:w="0" w:type="dxa"/>
            <w:right w:w="0" w:type="dxa"/>
          </w:tblCellMar>
        </w:tblPrEx>
        <w:trPr>
          <w:trHeight w:val="36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r>
        <w:tblPrEx>
          <w:tblCellMar>
            <w:top w:w="0" w:type="dxa"/>
            <w:left w:w="0" w:type="dxa"/>
            <w:bottom w:w="0" w:type="dxa"/>
            <w:right w:w="0" w:type="dxa"/>
          </w:tblCellMar>
        </w:tblPrEx>
        <w:trPr>
          <w:trHeight w:val="366"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r>
        <w:tblPrEx>
          <w:tblCellMar>
            <w:top w:w="0" w:type="dxa"/>
            <w:left w:w="0" w:type="dxa"/>
            <w:bottom w:w="0" w:type="dxa"/>
            <w:right w:w="0" w:type="dxa"/>
          </w:tblCellMar>
        </w:tblPrEx>
        <w:trPr>
          <w:trHeight w:val="312" w:hRule="atLeast"/>
        </w:trPr>
        <w:tc>
          <w:tcPr>
            <w:tcW w:w="2089"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宋体"/>
                <w:sz w:val="24"/>
              </w:rPr>
            </w:pPr>
          </w:p>
        </w:tc>
        <w:tc>
          <w:tcPr>
            <w:tcW w:w="628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ascii="宋体"/>
                <w:sz w:val="24"/>
              </w:rPr>
            </w:pPr>
          </w:p>
        </w:tc>
      </w:tr>
    </w:tbl>
    <w:p/>
    <w:p>
      <w:pPr>
        <w:pStyle w:val="18"/>
        <w:numPr>
          <w:ilvl w:val="0"/>
          <w:numId w:val="1"/>
        </w:numPr>
        <w:ind w:firstLineChars="0"/>
        <w:rPr>
          <w:rFonts w:ascii="宋体" w:hAnsi="宋体" w:cs="宋体"/>
          <w:b/>
          <w:sz w:val="24"/>
        </w:rPr>
      </w:pPr>
      <w:r>
        <w:rPr>
          <w:rFonts w:hint="eastAsia" w:ascii="宋体" w:hAnsi="宋体" w:cs="宋体"/>
          <w:b/>
          <w:sz w:val="24"/>
        </w:rPr>
        <w:t>售后服务要求</w:t>
      </w:r>
    </w:p>
    <w:p>
      <w:pPr>
        <w:pStyle w:val="20"/>
        <w:spacing w:line="360" w:lineRule="auto"/>
        <w:ind w:firstLine="0" w:firstLineChars="0"/>
        <w:rPr>
          <w:rFonts w:asciiTheme="minorHAnsi"/>
          <w:sz w:val="28"/>
          <w:szCs w:val="28"/>
        </w:rPr>
      </w:pPr>
    </w:p>
    <w:p>
      <w:pPr>
        <w:pStyle w:val="5"/>
        <w:spacing w:line="360" w:lineRule="auto"/>
        <w:ind w:left="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、所提供的网络准入控制系统要求提供3年免费升级及维护服务，保修期内，所有软件、硬件系统维护均为免费。</w:t>
      </w:r>
    </w:p>
    <w:p>
      <w:pPr>
        <w:pStyle w:val="5"/>
        <w:spacing w:line="360" w:lineRule="auto"/>
        <w:ind w:left="0"/>
        <w:rPr>
          <w:rFonts w:ascii="仿宋" w:hAnsi="仿宋" w:eastAsia="仿宋" w:cs="仿宋"/>
          <w:sz w:val="24"/>
        </w:rPr>
      </w:pPr>
      <w:r>
        <w:rPr>
          <w:rFonts w:hint="eastAsia" w:ascii="仿宋" w:hAnsi="仿宋" w:eastAsia="仿宋" w:cs="仿宋"/>
          <w:sz w:val="24"/>
        </w:rPr>
        <w:t>2、供应商需设置售后服务机构，并配置服务人员。故障报修的响应时间为7</w:t>
      </w:r>
      <w:r>
        <w:rPr>
          <w:rFonts w:ascii="仿宋" w:hAnsi="仿宋" w:eastAsia="仿宋" w:cs="仿宋"/>
          <w:sz w:val="24"/>
        </w:rPr>
        <w:t>X24</w:t>
      </w:r>
      <w:r>
        <w:rPr>
          <w:rFonts w:hint="eastAsia" w:ascii="仿宋" w:hAnsi="仿宋" w:eastAsia="仿宋" w:cs="仿宋"/>
          <w:sz w:val="24"/>
        </w:rPr>
        <w:t>小时。若电话中无法解决，</w:t>
      </w:r>
      <w:r>
        <w:rPr>
          <w:rFonts w:ascii="仿宋" w:hAnsi="仿宋" w:eastAsia="仿宋" w:cs="仿宋"/>
          <w:sz w:val="24"/>
        </w:rPr>
        <w:t>6</w:t>
      </w:r>
      <w:r>
        <w:rPr>
          <w:rFonts w:hint="eastAsia" w:ascii="仿宋" w:hAnsi="仿宋" w:eastAsia="仿宋" w:cs="仿宋"/>
          <w:sz w:val="24"/>
        </w:rPr>
        <w:t>小时内到达现场进行维护。</w:t>
      </w:r>
    </w:p>
    <w:p>
      <w:pPr>
        <w:pStyle w:val="5"/>
        <w:spacing w:line="360" w:lineRule="auto"/>
        <w:ind w:left="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、保修期内，所有硬件设备维修服务均为上门服务，由此产生的费用均不再收取。</w:t>
      </w:r>
    </w:p>
    <w:p>
      <w:pPr>
        <w:pStyle w:val="5"/>
        <w:spacing w:line="360" w:lineRule="auto"/>
        <w:ind w:left="0"/>
        <w:rPr>
          <w:rFonts w:ascii="仿宋" w:hAnsi="仿宋" w:eastAsia="仿宋" w:cs="仿宋"/>
          <w:sz w:val="24"/>
        </w:rPr>
      </w:pPr>
      <w:r>
        <w:rPr>
          <w:rFonts w:hint="eastAsia" w:ascii="仿宋" w:hAnsi="仿宋" w:eastAsia="仿宋" w:cs="仿宋"/>
          <w:sz w:val="24"/>
        </w:rPr>
        <w:t>4、需提供系统扩充、升级方面的技术支持服务。</w:t>
      </w:r>
    </w:p>
    <w:p>
      <w:pPr>
        <w:pStyle w:val="5"/>
        <w:spacing w:line="360" w:lineRule="auto"/>
        <w:ind w:left="0"/>
        <w:rPr>
          <w:rFonts w:ascii="宋体" w:hAnsi="宋体" w:cs="宋体"/>
          <w:b/>
          <w:sz w:val="24"/>
        </w:rPr>
      </w:pPr>
      <w:r>
        <w:rPr>
          <w:rFonts w:ascii="仿宋" w:hAnsi="仿宋" w:eastAsia="仿宋" w:cs="仿宋"/>
          <w:sz w:val="24"/>
        </w:rPr>
        <w:t>5</w:t>
      </w:r>
      <w:r>
        <w:rPr>
          <w:rFonts w:hint="eastAsia" w:ascii="仿宋" w:hAnsi="仿宋" w:eastAsia="仿宋" w:cs="仿宋"/>
          <w:sz w:val="24"/>
        </w:rPr>
        <w:t>、如产品过保，则厂家需根据需要提供有偿维保服务，包括但不限于有偿上门、维修、升级维护，采购建议等。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E1B37"/>
    <w:multiLevelType w:val="multilevel"/>
    <w:tmpl w:val="4FAE1B37"/>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MzUyMjc5NzkxZGMwMTBkNDM4OGZlM2I3MzU1MWEifQ=="/>
  </w:docVars>
  <w:rsids>
    <w:rsidRoot w:val="00185294"/>
    <w:rsid w:val="00027F1B"/>
    <w:rsid w:val="00185294"/>
    <w:rsid w:val="001E4934"/>
    <w:rsid w:val="00293448"/>
    <w:rsid w:val="003A446C"/>
    <w:rsid w:val="004076F1"/>
    <w:rsid w:val="00412C3F"/>
    <w:rsid w:val="004D2863"/>
    <w:rsid w:val="00541457"/>
    <w:rsid w:val="005D03C4"/>
    <w:rsid w:val="0074155A"/>
    <w:rsid w:val="008D222A"/>
    <w:rsid w:val="00900BD5"/>
    <w:rsid w:val="009321D6"/>
    <w:rsid w:val="009372DF"/>
    <w:rsid w:val="00A00D8C"/>
    <w:rsid w:val="00A9680F"/>
    <w:rsid w:val="00CC1F91"/>
    <w:rsid w:val="00FA6B8A"/>
    <w:rsid w:val="00FD1555"/>
    <w:rsid w:val="00FD6747"/>
    <w:rsid w:val="77EF08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Body Text Indent"/>
    <w:basedOn w:val="1"/>
    <w:link w:val="16"/>
    <w:semiHidden/>
    <w:unhideWhenUsed/>
    <w:qFormat/>
    <w:uiPriority w:val="99"/>
    <w:pPr>
      <w:spacing w:after="120"/>
      <w:ind w:left="420" w:leftChars="200"/>
    </w:pPr>
  </w:style>
  <w:style w:type="paragraph" w:styleId="5">
    <w:name w:val="index 4"/>
    <w:basedOn w:val="1"/>
    <w:next w:val="1"/>
    <w:qFormat/>
    <w:uiPriority w:val="0"/>
    <w:pPr>
      <w:ind w:left="1260"/>
    </w:pPr>
    <w:rPr>
      <w:rFonts w:ascii="Times New Roman" w:hAnsi="Times New Roman" w:eastAsia="宋体" w:cs="Times New Roman"/>
      <w:szCs w:val="24"/>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Body Text First Indent 2"/>
    <w:basedOn w:val="4"/>
    <w:next w:val="3"/>
    <w:link w:val="17"/>
    <w:qFormat/>
    <w:uiPriority w:val="0"/>
    <w:pPr>
      <w:ind w:firstLine="420" w:firstLineChars="200"/>
    </w:pPr>
    <w:rPr>
      <w:rFonts w:ascii="Times New Roman" w:hAnsi="Times New Roman" w:eastAsia="宋体" w:cs="Times New Roman"/>
      <w:szCs w:val="24"/>
    </w:rPr>
  </w:style>
  <w:style w:type="character" w:styleId="12">
    <w:name w:val="Strong"/>
    <w:basedOn w:val="11"/>
    <w:qFormat/>
    <w:uiPriority w:val="0"/>
    <w:rPr>
      <w:b/>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character" w:customStyle="1" w:styleId="15">
    <w:name w:val="标题 1 Char"/>
    <w:basedOn w:val="11"/>
    <w:link w:val="2"/>
    <w:uiPriority w:val="9"/>
    <w:rPr>
      <w:b/>
      <w:bCs/>
      <w:kern w:val="44"/>
      <w:sz w:val="44"/>
      <w:szCs w:val="44"/>
    </w:rPr>
  </w:style>
  <w:style w:type="character" w:customStyle="1" w:styleId="16">
    <w:name w:val="正文文本缩进 Char"/>
    <w:basedOn w:val="11"/>
    <w:link w:val="4"/>
    <w:semiHidden/>
    <w:qFormat/>
    <w:uiPriority w:val="99"/>
  </w:style>
  <w:style w:type="character" w:customStyle="1" w:styleId="17">
    <w:name w:val="正文首行缩进 2 Char"/>
    <w:basedOn w:val="16"/>
    <w:link w:val="9"/>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段 Char"/>
    <w:link w:val="20"/>
    <w:uiPriority w:val="0"/>
    <w:rPr>
      <w:rFonts w:ascii="宋体"/>
    </w:rPr>
  </w:style>
  <w:style w:type="paragraph" w:customStyle="1" w:styleId="20">
    <w:name w:val="段"/>
    <w:link w:val="19"/>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476</Words>
  <Characters>2714</Characters>
  <Lines>22</Lines>
  <Paragraphs>6</Paragraphs>
  <TotalTime>47</TotalTime>
  <ScaleCrop>false</ScaleCrop>
  <LinksUpToDate>false</LinksUpToDate>
  <CharactersWithSpaces>3184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2024-04-02T03:08:00Z</dcterms:created>
  <dc:creator>M</dc:creator>
  <cp:lastModifiedBy>123</cp:lastModifiedBy>
  <dcterms:modified xsi:type="dcterms:W3CDTF">2024-04-02T07:11:02Z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B97BE024BC2E49BCB8C614DC0EC8F969_12</vt:lpwstr>
  </property>
</Properties>
</file>