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z w:val="36"/>
        </w:rPr>
      </w:pPr>
      <w:r>
        <w:rPr>
          <w:rFonts w:hint="eastAsia"/>
          <w:sz w:val="36"/>
        </w:rPr>
        <w:t>采购</w:t>
      </w:r>
      <w:r>
        <w:rPr>
          <w:sz w:val="36"/>
        </w:rPr>
        <w:t>需求</w:t>
      </w:r>
    </w:p>
    <w:p>
      <w:pPr>
        <w:spacing w:line="360" w:lineRule="auto"/>
        <w:rPr>
          <w:b/>
          <w:bCs/>
          <w:sz w:val="24"/>
        </w:rPr>
      </w:pPr>
    </w:p>
    <w:p>
      <w:pPr>
        <w:spacing w:line="360" w:lineRule="auto"/>
        <w:rPr>
          <w:b/>
          <w:bCs/>
          <w:sz w:val="24"/>
        </w:rPr>
      </w:pPr>
      <w:r>
        <w:rPr>
          <w:b/>
          <w:bCs/>
          <w:sz w:val="24"/>
        </w:rPr>
        <w:t>一、</w:t>
      </w:r>
      <w:r>
        <w:rPr>
          <w:rFonts w:hint="eastAsia"/>
          <w:b/>
          <w:bCs/>
          <w:sz w:val="24"/>
        </w:rPr>
        <w:t>采购</w:t>
      </w:r>
      <w:r>
        <w:rPr>
          <w:b/>
          <w:bCs/>
          <w:sz w:val="24"/>
        </w:rPr>
        <w:t>项目信息</w:t>
      </w:r>
    </w:p>
    <w:p>
      <w:pPr>
        <w:spacing w:line="360" w:lineRule="auto"/>
        <w:rPr>
          <w:rFonts w:hint="eastAsia" w:ascii="仿宋" w:hAnsi="仿宋" w:eastAsia="仿宋" w:cs="仿宋"/>
          <w:sz w:val="24"/>
          <w:szCs w:val="24"/>
        </w:rPr>
      </w:pPr>
      <w:r>
        <w:rPr>
          <w:sz w:val="24"/>
        </w:rPr>
        <w:t>1</w:t>
      </w:r>
      <w:r>
        <w:rPr>
          <w:rFonts w:hint="eastAsia"/>
          <w:sz w:val="24"/>
        </w:rPr>
        <w:t>.采购</w:t>
      </w:r>
      <w:r>
        <w:rPr>
          <w:sz w:val="24"/>
        </w:rPr>
        <w:t>项目名称：</w:t>
      </w:r>
      <w:r>
        <w:rPr>
          <w:rFonts w:hint="eastAsia" w:ascii="宋体" w:hAnsi="宋体" w:cs="宋体"/>
          <w:kern w:val="0"/>
          <w:sz w:val="24"/>
        </w:rPr>
        <w:t>郴州</w:t>
      </w:r>
      <w:r>
        <w:rPr>
          <w:rFonts w:hint="eastAsia" w:ascii="仿宋" w:hAnsi="仿宋" w:eastAsia="仿宋" w:cs="仿宋"/>
          <w:kern w:val="0"/>
          <w:sz w:val="24"/>
          <w:szCs w:val="24"/>
        </w:rPr>
        <w:t>市第三人民医院</w:t>
      </w:r>
      <w:r>
        <w:rPr>
          <w:rFonts w:hint="eastAsia" w:ascii="仿宋" w:hAnsi="仿宋" w:eastAsia="仿宋" w:cs="仿宋"/>
          <w:sz w:val="24"/>
          <w:szCs w:val="24"/>
        </w:rPr>
        <w:t>网络接入控制系统</w:t>
      </w:r>
      <w:r>
        <w:rPr>
          <w:rFonts w:hint="eastAsia" w:ascii="仿宋" w:hAnsi="仿宋" w:eastAsia="仿宋" w:cs="仿宋"/>
          <w:kern w:val="0"/>
          <w:sz w:val="24"/>
          <w:szCs w:val="24"/>
        </w:rPr>
        <w:t>项目</w:t>
      </w:r>
    </w:p>
    <w:p>
      <w:pPr>
        <w:spacing w:line="360" w:lineRule="auto"/>
        <w:rPr>
          <w:sz w:val="24"/>
        </w:rPr>
      </w:pPr>
      <w:r>
        <w:rPr>
          <w:rFonts w:hint="eastAsia"/>
          <w:sz w:val="24"/>
        </w:rPr>
        <w:t>2.采购项目的数量及预算：</w:t>
      </w:r>
    </w:p>
    <w:tbl>
      <w:tblPr>
        <w:tblStyle w:val="10"/>
        <w:tblW w:w="7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268"/>
        <w:gridCol w:w="1559"/>
        <w:gridCol w:w="993"/>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71" w:type="dxa"/>
            <w:vAlign w:val="center"/>
          </w:tcPr>
          <w:p>
            <w:pPr>
              <w:jc w:val="center"/>
              <w:rPr>
                <w:rFonts w:ascii="宋体" w:hAnsi="宋体" w:eastAsia="宋体" w:cs="宋体"/>
                <w:b/>
                <w:bCs/>
                <w:sz w:val="24"/>
              </w:rPr>
            </w:pPr>
            <w:r>
              <w:rPr>
                <w:rFonts w:hint="eastAsia" w:ascii="宋体" w:hAnsi="宋体" w:eastAsia="宋体" w:cs="宋体"/>
                <w:b/>
                <w:bCs/>
                <w:sz w:val="24"/>
              </w:rPr>
              <w:t>序号</w:t>
            </w:r>
          </w:p>
        </w:tc>
        <w:tc>
          <w:tcPr>
            <w:tcW w:w="2268" w:type="dxa"/>
            <w:vAlign w:val="center"/>
          </w:tcPr>
          <w:p>
            <w:pPr>
              <w:jc w:val="center"/>
              <w:rPr>
                <w:rFonts w:ascii="宋体" w:hAnsi="宋体" w:eastAsia="宋体" w:cs="宋体"/>
                <w:b/>
                <w:bCs/>
                <w:sz w:val="24"/>
              </w:rPr>
            </w:pPr>
            <w:r>
              <w:rPr>
                <w:rFonts w:hint="eastAsia" w:ascii="宋体" w:hAnsi="宋体" w:eastAsia="宋体" w:cs="宋体"/>
                <w:b/>
                <w:bCs/>
                <w:sz w:val="24"/>
              </w:rPr>
              <w:t>设备名称</w:t>
            </w:r>
          </w:p>
        </w:tc>
        <w:tc>
          <w:tcPr>
            <w:tcW w:w="1559" w:type="dxa"/>
            <w:vAlign w:val="center"/>
          </w:tcPr>
          <w:p>
            <w:pPr>
              <w:jc w:val="center"/>
              <w:rPr>
                <w:rFonts w:ascii="宋体" w:hAnsi="宋体" w:eastAsia="宋体" w:cs="宋体"/>
                <w:b/>
                <w:bCs/>
                <w:sz w:val="24"/>
              </w:rPr>
            </w:pPr>
            <w:r>
              <w:rPr>
                <w:rFonts w:hint="eastAsia" w:ascii="宋体" w:hAnsi="宋体" w:eastAsia="宋体" w:cs="宋体"/>
                <w:b/>
                <w:bCs/>
                <w:sz w:val="24"/>
              </w:rPr>
              <w:t>数量</w:t>
            </w:r>
          </w:p>
        </w:tc>
        <w:tc>
          <w:tcPr>
            <w:tcW w:w="993" w:type="dxa"/>
            <w:vAlign w:val="center"/>
          </w:tcPr>
          <w:p>
            <w:pPr>
              <w:jc w:val="center"/>
              <w:rPr>
                <w:rFonts w:ascii="宋体" w:hAnsi="宋体" w:eastAsia="宋体" w:cs="宋体"/>
                <w:b/>
                <w:bCs/>
                <w:sz w:val="24"/>
              </w:rPr>
            </w:pPr>
            <w:r>
              <w:rPr>
                <w:rFonts w:hint="eastAsia" w:ascii="宋体" w:hAnsi="宋体" w:eastAsia="宋体" w:cs="宋体"/>
                <w:b/>
                <w:bCs/>
                <w:sz w:val="24"/>
              </w:rPr>
              <w:t>单位</w:t>
            </w:r>
          </w:p>
        </w:tc>
        <w:tc>
          <w:tcPr>
            <w:tcW w:w="1753" w:type="dxa"/>
          </w:tcPr>
          <w:p>
            <w:pPr>
              <w:jc w:val="center"/>
              <w:rPr>
                <w:rFonts w:ascii="宋体" w:hAnsi="宋体" w:eastAsia="宋体" w:cs="宋体"/>
                <w:b/>
                <w:bCs/>
                <w:sz w:val="24"/>
              </w:rPr>
            </w:pPr>
            <w:r>
              <w:rPr>
                <w:rFonts w:hint="eastAsia" w:ascii="宋体" w:hAnsi="宋体" w:eastAsia="宋体" w:cs="宋体"/>
                <w:b/>
                <w:bCs/>
                <w:sz w:val="24"/>
              </w:rPr>
              <w:t>预算</w:t>
            </w:r>
            <w:r>
              <w:rPr>
                <w:rFonts w:ascii="宋体" w:hAnsi="宋体" w:eastAsia="宋体" w:cs="宋体"/>
                <w:b/>
                <w:bCs/>
                <w:sz w:val="24"/>
              </w:rPr>
              <w:t>金额</w:t>
            </w:r>
            <w:r>
              <w:rPr>
                <w:rFonts w:hint="eastAsia" w:ascii="宋体" w:hAnsi="宋体" w:eastAsia="宋体" w:cs="宋体"/>
                <w:b/>
                <w:bCs/>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71" w:type="dxa"/>
            <w:vAlign w:val="center"/>
          </w:tcPr>
          <w:p>
            <w:pPr>
              <w:jc w:val="center"/>
              <w:rPr>
                <w:rFonts w:ascii="宋体" w:hAnsi="宋体" w:eastAsia="宋体" w:cs="宋体"/>
                <w:szCs w:val="21"/>
              </w:rPr>
            </w:pPr>
            <w:r>
              <w:rPr>
                <w:rFonts w:hint="eastAsia" w:ascii="宋体" w:hAnsi="宋体" w:eastAsia="宋体" w:cs="宋体"/>
                <w:szCs w:val="21"/>
              </w:rPr>
              <w:t>1</w:t>
            </w:r>
          </w:p>
        </w:tc>
        <w:tc>
          <w:tcPr>
            <w:tcW w:w="2268" w:type="dxa"/>
          </w:tcPr>
          <w:p>
            <w:pPr>
              <w:jc w:val="left"/>
              <w:rPr>
                <w:rFonts w:ascii="宋体" w:hAnsi="宋体" w:eastAsia="宋体" w:cs="宋体"/>
                <w:szCs w:val="21"/>
              </w:rPr>
            </w:pPr>
            <w:r>
              <w:rPr>
                <w:rFonts w:hint="eastAsia" w:ascii="宋体" w:hAnsi="宋体" w:eastAsia="宋体" w:cs="宋体"/>
                <w:szCs w:val="21"/>
              </w:rPr>
              <w:t>网络接入控制系统</w:t>
            </w:r>
          </w:p>
        </w:tc>
        <w:tc>
          <w:tcPr>
            <w:tcW w:w="1559" w:type="dxa"/>
            <w:vAlign w:val="center"/>
          </w:tcPr>
          <w:p>
            <w:pPr>
              <w:jc w:val="center"/>
              <w:rPr>
                <w:rFonts w:ascii="宋体" w:hAnsi="宋体" w:eastAsia="宋体" w:cs="宋体"/>
                <w:szCs w:val="21"/>
              </w:rPr>
            </w:pPr>
            <w:r>
              <w:rPr>
                <w:rFonts w:ascii="宋体" w:hAnsi="宋体" w:eastAsia="宋体" w:cs="宋体"/>
                <w:szCs w:val="21"/>
              </w:rPr>
              <w:t>1</w:t>
            </w:r>
          </w:p>
        </w:tc>
        <w:tc>
          <w:tcPr>
            <w:tcW w:w="993" w:type="dxa"/>
            <w:vAlign w:val="center"/>
          </w:tcPr>
          <w:p>
            <w:pPr>
              <w:jc w:val="center"/>
              <w:rPr>
                <w:rFonts w:ascii="宋体" w:hAnsi="宋体" w:eastAsia="宋体" w:cs="宋体"/>
                <w:szCs w:val="21"/>
              </w:rPr>
            </w:pPr>
            <w:r>
              <w:rPr>
                <w:rFonts w:hint="eastAsia" w:ascii="宋体" w:hAnsi="宋体" w:eastAsia="宋体" w:cs="宋体"/>
                <w:szCs w:val="21"/>
              </w:rPr>
              <w:t>套</w:t>
            </w:r>
          </w:p>
        </w:tc>
        <w:tc>
          <w:tcPr>
            <w:tcW w:w="1753" w:type="dxa"/>
          </w:tcPr>
          <w:p>
            <w:pPr>
              <w:jc w:val="center"/>
              <w:rPr>
                <w:rFonts w:ascii="宋体" w:hAnsi="宋体" w:eastAsia="宋体" w:cs="宋体"/>
                <w:szCs w:val="21"/>
              </w:rPr>
            </w:pPr>
            <w:r>
              <w:rPr>
                <w:rFonts w:hint="eastAsia" w:ascii="宋体" w:hAnsi="宋体" w:eastAsia="宋体" w:cs="宋体"/>
                <w:szCs w:val="21"/>
              </w:rPr>
              <w:t>5</w:t>
            </w:r>
            <w:r>
              <w:rPr>
                <w:rFonts w:ascii="宋体" w:hAnsi="宋体" w:eastAsia="宋体" w:cs="宋体"/>
                <w:szCs w:val="21"/>
              </w:rPr>
              <w:t>60</w:t>
            </w:r>
            <w:r>
              <w:rPr>
                <w:rFonts w:hint="eastAsia" w:ascii="宋体" w:hAnsi="宋体" w:eastAsia="宋体" w:cs="宋体"/>
                <w:szCs w:val="21"/>
              </w:rPr>
              <w:t>00</w:t>
            </w:r>
            <w:bookmarkStart w:id="0" w:name="_GoBack"/>
            <w:bookmarkEnd w:id="0"/>
          </w:p>
        </w:tc>
      </w:tr>
    </w:tbl>
    <w:p>
      <w:pPr>
        <w:tabs>
          <w:tab w:val="left" w:pos="726"/>
        </w:tabs>
        <w:adjustRightInd w:val="0"/>
        <w:snapToGrid w:val="0"/>
        <w:spacing w:line="360" w:lineRule="auto"/>
        <w:rPr>
          <w:rFonts w:ascii="宋体" w:hAnsi="宋体" w:cs="宋体"/>
          <w:b/>
          <w:sz w:val="24"/>
        </w:rPr>
      </w:pPr>
    </w:p>
    <w:p>
      <w:pPr>
        <w:pStyle w:val="18"/>
        <w:numPr>
          <w:ilvl w:val="0"/>
          <w:numId w:val="1"/>
        </w:numPr>
        <w:tabs>
          <w:tab w:val="left" w:pos="726"/>
        </w:tabs>
        <w:adjustRightInd w:val="0"/>
        <w:snapToGrid w:val="0"/>
        <w:spacing w:line="360" w:lineRule="auto"/>
        <w:ind w:firstLineChars="0"/>
        <w:rPr>
          <w:rFonts w:hint="eastAsia" w:ascii="宋体" w:hAnsi="宋体" w:cs="宋体"/>
          <w:b/>
          <w:sz w:val="24"/>
        </w:rPr>
      </w:pPr>
      <w:r>
        <w:rPr>
          <w:rFonts w:hint="eastAsia" w:ascii="宋体" w:hAnsi="宋体" w:cs="宋体"/>
          <w:b/>
          <w:sz w:val="24"/>
        </w:rPr>
        <w:t>投标人资格条件</w:t>
      </w:r>
    </w:p>
    <w:p>
      <w:pPr>
        <w:pStyle w:val="5"/>
        <w:spacing w:line="360" w:lineRule="auto"/>
        <w:ind w:left="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、符合《政府采购法》第二十二条规定的条件；</w:t>
      </w:r>
    </w:p>
    <w:p>
      <w:pPr>
        <w:pStyle w:val="5"/>
        <w:spacing w:line="360" w:lineRule="auto"/>
        <w:ind w:left="0"/>
        <w:rPr>
          <w:rFonts w:ascii="仿宋" w:hAnsi="仿宋" w:eastAsia="仿宋" w:cs="仿宋"/>
          <w:sz w:val="24"/>
        </w:rPr>
      </w:pPr>
      <w:r>
        <w:rPr>
          <w:rFonts w:hint="eastAsia" w:ascii="仿宋" w:hAnsi="仿宋" w:eastAsia="仿宋" w:cs="仿宋"/>
          <w:sz w:val="24"/>
        </w:rPr>
        <w:t>2</w:t>
      </w:r>
      <w:r>
        <w:rPr>
          <w:rFonts w:ascii="仿宋" w:hAnsi="仿宋" w:eastAsia="仿宋" w:cs="仿宋"/>
          <w:sz w:val="24"/>
        </w:rPr>
        <w:t>、</w:t>
      </w:r>
      <w:r>
        <w:rPr>
          <w:rFonts w:hint="eastAsia" w:ascii="仿宋" w:hAnsi="仿宋" w:eastAsia="仿宋" w:cs="仿宋"/>
          <w:sz w:val="24"/>
        </w:rPr>
        <w:t>具有独立承担民事责任的能力（提供有效营业执照或事业法人登记证或社会团体法人登记证书等相关证明复印件）；</w:t>
      </w:r>
    </w:p>
    <w:p>
      <w:pPr>
        <w:pStyle w:val="5"/>
        <w:spacing w:line="360" w:lineRule="auto"/>
        <w:ind w:left="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、具有履行合同所必需的设备和专业技术能力的书面声明（提供《响应供应商资格声明函》）；</w:t>
      </w:r>
    </w:p>
    <w:p>
      <w:pPr>
        <w:pStyle w:val="5"/>
        <w:spacing w:line="360" w:lineRule="auto"/>
        <w:ind w:left="0"/>
        <w:rPr>
          <w:rFonts w:ascii="仿宋" w:hAnsi="仿宋" w:eastAsia="仿宋" w:cs="仿宋"/>
          <w:sz w:val="24"/>
        </w:rPr>
      </w:pPr>
      <w:r>
        <w:rPr>
          <w:rFonts w:hint="eastAsia" w:ascii="仿宋" w:hAnsi="仿宋" w:eastAsia="仿宋" w:cs="仿宋"/>
          <w:sz w:val="24"/>
        </w:rPr>
        <w:t>4、提供参加政府采购活动前3年内在经营活动中没有重大违法记录的书面声明（提供《响应供应商资格声明函》）；</w:t>
      </w:r>
    </w:p>
    <w:p>
      <w:pPr>
        <w:adjustRightInd w:val="0"/>
        <w:snapToGrid w:val="0"/>
        <w:spacing w:line="360" w:lineRule="auto"/>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、供应商未被列入信用中国网站“记录失信被执行人或重大税收违法案件当事人名单或政府采购严重违法失信行为”记录名单；</w:t>
      </w:r>
    </w:p>
    <w:p>
      <w:pPr>
        <w:adjustRightInd w:val="0"/>
        <w:snapToGrid w:val="0"/>
        <w:spacing w:line="360" w:lineRule="auto"/>
        <w:jc w:val="left"/>
        <w:rPr>
          <w:rFonts w:ascii="仿宋" w:hAnsi="仿宋" w:eastAsia="仿宋" w:cs="仿宋"/>
          <w:sz w:val="24"/>
        </w:rPr>
      </w:pPr>
      <w:r>
        <w:rPr>
          <w:rFonts w:ascii="仿宋" w:hAnsi="仿宋" w:eastAsia="仿宋" w:cs="仿宋"/>
          <w:sz w:val="24"/>
        </w:rPr>
        <w:t>6</w:t>
      </w:r>
      <w:r>
        <w:rPr>
          <w:rFonts w:hint="eastAsia" w:ascii="仿宋" w:hAnsi="仿宋" w:eastAsia="仿宋" w:cs="仿宋"/>
          <w:sz w:val="24"/>
        </w:rPr>
        <w:t>、本项目不接受联合体投标。</w:t>
      </w:r>
    </w:p>
    <w:p>
      <w:pPr>
        <w:adjustRightInd w:val="0"/>
        <w:snapToGrid w:val="0"/>
        <w:spacing w:line="360" w:lineRule="auto"/>
        <w:jc w:val="left"/>
        <w:rPr>
          <w:rFonts w:ascii="仿宋" w:hAnsi="仿宋" w:eastAsia="仿宋" w:cs="仿宋"/>
          <w:sz w:val="24"/>
        </w:rPr>
      </w:pPr>
    </w:p>
    <w:p>
      <w:pPr>
        <w:pStyle w:val="18"/>
        <w:numPr>
          <w:ilvl w:val="0"/>
          <w:numId w:val="1"/>
        </w:numPr>
        <w:tabs>
          <w:tab w:val="left" w:pos="726"/>
        </w:tabs>
        <w:adjustRightInd w:val="0"/>
        <w:snapToGrid w:val="0"/>
        <w:spacing w:line="360" w:lineRule="auto"/>
        <w:ind w:firstLineChars="0"/>
        <w:rPr>
          <w:rFonts w:ascii="宋体" w:hAnsi="宋体" w:cs="宋体"/>
          <w:b/>
          <w:sz w:val="24"/>
        </w:rPr>
      </w:pPr>
      <w:r>
        <w:rPr>
          <w:rFonts w:hint="eastAsia" w:ascii="宋体" w:hAnsi="宋体" w:cs="宋体"/>
          <w:b/>
          <w:sz w:val="24"/>
        </w:rPr>
        <w:t>采购内容</w:t>
      </w:r>
    </w:p>
    <w:p>
      <w:pPr>
        <w:pStyle w:val="8"/>
        <w:widowControl/>
        <w:spacing w:beforeAutospacing="0" w:afterAutospacing="0"/>
        <w:ind w:firstLine="480" w:firstLineChars="200"/>
        <w:rPr>
          <w:rFonts w:ascii="仿宋" w:hAnsi="仿宋" w:eastAsia="仿宋" w:cs="仿宋"/>
          <w:kern w:val="2"/>
        </w:rPr>
      </w:pPr>
      <w:r>
        <w:rPr>
          <w:rFonts w:hint="eastAsia" w:ascii="仿宋" w:hAnsi="仿宋" w:eastAsia="仿宋" w:cs="仿宋"/>
          <w:kern w:val="2"/>
        </w:rPr>
        <w:t>要求终端准入及桌面管理产品具备出色的远程管理功能，且为功能一体化设计。设备为软硬件一体化设备，软件功能全开放，系统应当具备小型、轻量化的客户端插件，可以保证插件加载后，大部分单位电脑的流畅运行，并确保兼容老旧电脑（WINXP系统等）的安装和使用，产品至少包含1000个LICENSE授权，并支持后续升级扩容。★项目为核心要求项，所投产品必须满足。</w:t>
      </w:r>
    </w:p>
    <w:p>
      <w:pPr>
        <w:pStyle w:val="8"/>
        <w:widowControl/>
        <w:spacing w:beforeAutospacing="0" w:afterAutospacing="0"/>
        <w:ind w:firstLine="480" w:firstLineChars="200"/>
        <w:rPr>
          <w:rFonts w:ascii="仿宋" w:hAnsi="仿宋" w:eastAsia="仿宋" w:cs="仿宋"/>
          <w:kern w:val="2"/>
        </w:rPr>
      </w:pPr>
    </w:p>
    <w:p>
      <w:pPr>
        <w:pStyle w:val="8"/>
        <w:widowControl/>
        <w:spacing w:beforeAutospacing="0" w:afterAutospacing="0"/>
        <w:ind w:firstLine="480" w:firstLineChars="200"/>
        <w:rPr>
          <w:rFonts w:hint="eastAsia" w:ascii="仿宋" w:hAnsi="仿宋" w:eastAsia="仿宋" w:cs="仿宋"/>
          <w:kern w:val="2"/>
        </w:rPr>
      </w:pPr>
    </w:p>
    <w:p/>
    <w:tbl>
      <w:tblPr>
        <w:tblStyle w:val="10"/>
        <w:tblW w:w="8378" w:type="dxa"/>
        <w:tblInd w:w="0" w:type="dxa"/>
        <w:tblLayout w:type="autofit"/>
        <w:tblCellMar>
          <w:top w:w="0" w:type="dxa"/>
          <w:left w:w="0" w:type="dxa"/>
          <w:bottom w:w="0" w:type="dxa"/>
          <w:right w:w="0" w:type="dxa"/>
        </w:tblCellMar>
      </w:tblPr>
      <w:tblGrid>
        <w:gridCol w:w="685"/>
        <w:gridCol w:w="1404"/>
        <w:gridCol w:w="6289"/>
      </w:tblGrid>
      <w:tr>
        <w:trPr>
          <w:trHeight w:val="256" w:hRule="atLeast"/>
        </w:trPr>
        <w:tc>
          <w:tcPr>
            <w:tcW w:w="2089" w:type="dxa"/>
            <w:gridSpan w:val="2"/>
            <w:tcBorders>
              <w:top w:val="single" w:color="auto" w:sz="6" w:space="0"/>
              <w:left w:val="single" w:color="auto" w:sz="6" w:space="0"/>
              <w:bottom w:val="single" w:color="auto" w:sz="6" w:space="0"/>
              <w:right w:val="single" w:color="auto" w:sz="6" w:space="0"/>
            </w:tcBorders>
            <w:shd w:val="clear" w:color="auto" w:fill="A6A6A6"/>
            <w:tcMar>
              <w:left w:w="105" w:type="dxa"/>
              <w:right w:w="105" w:type="dxa"/>
            </w:tcMar>
            <w:vAlign w:val="center"/>
          </w:tcPr>
          <w:p>
            <w:pPr>
              <w:pStyle w:val="8"/>
              <w:widowControl/>
              <w:spacing w:beforeAutospacing="0" w:afterAutospacing="0"/>
              <w:jc w:val="center"/>
            </w:pPr>
            <w:r>
              <w:rPr>
                <w:rStyle w:val="12"/>
                <w:rFonts w:ascii="微软雅黑" w:hAnsi="微软雅黑" w:eastAsia="微软雅黑" w:cs="微软雅黑"/>
                <w:b w:val="0"/>
                <w:bCs/>
              </w:rPr>
              <w:t>指标类型</w:t>
            </w:r>
          </w:p>
        </w:tc>
        <w:tc>
          <w:tcPr>
            <w:tcW w:w="6289" w:type="dxa"/>
            <w:tcBorders>
              <w:top w:val="single" w:color="auto" w:sz="6" w:space="0"/>
              <w:left w:val="nil"/>
              <w:bottom w:val="single" w:color="auto" w:sz="6" w:space="0"/>
              <w:right w:val="single" w:color="auto" w:sz="6" w:space="0"/>
            </w:tcBorders>
            <w:shd w:val="clear" w:color="auto" w:fill="A6A6A6"/>
            <w:tcMar>
              <w:left w:w="105" w:type="dxa"/>
              <w:right w:w="105" w:type="dxa"/>
            </w:tcMar>
            <w:vAlign w:val="center"/>
          </w:tcPr>
          <w:p>
            <w:pPr>
              <w:pStyle w:val="8"/>
              <w:widowControl/>
              <w:spacing w:beforeAutospacing="0" w:afterAutospacing="0"/>
              <w:jc w:val="center"/>
            </w:pPr>
            <w:r>
              <w:rPr>
                <w:rStyle w:val="12"/>
                <w:rFonts w:hint="eastAsia" w:ascii="微软雅黑" w:hAnsi="微软雅黑" w:eastAsia="微软雅黑" w:cs="微软雅黑"/>
                <w:b w:val="0"/>
                <w:bCs/>
              </w:rPr>
              <w:t>指标要求</w:t>
            </w:r>
          </w:p>
        </w:tc>
      </w:tr>
      <w:tr>
        <w:tblPrEx>
          <w:tblCellMar>
            <w:top w:w="0" w:type="dxa"/>
            <w:left w:w="0" w:type="dxa"/>
            <w:bottom w:w="0" w:type="dxa"/>
            <w:right w:w="0" w:type="dxa"/>
          </w:tblCellMar>
        </w:tblPrEx>
        <w:trPr>
          <w:trHeight w:val="500" w:hRule="atLeast"/>
        </w:trPr>
        <w:tc>
          <w:tcPr>
            <w:tcW w:w="2089"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jc w:val="center"/>
            </w:pPr>
            <w:r>
              <w:rPr>
                <w:rFonts w:hint="eastAsia" w:ascii="微软雅黑" w:hAnsi="微软雅黑" w:eastAsia="微软雅黑" w:cs="微软雅黑"/>
                <w:b/>
                <w:sz w:val="18"/>
                <w:szCs w:val="18"/>
              </w:rPr>
              <w:t>★</w:t>
            </w:r>
            <w:r>
              <w:rPr>
                <w:rStyle w:val="12"/>
                <w:rFonts w:hint="eastAsia" w:ascii="微软雅黑" w:hAnsi="微软雅黑" w:eastAsia="微软雅黑" w:cs="微软雅黑"/>
                <w:b w:val="0"/>
                <w:bCs/>
              </w:rPr>
              <w:t>配置要求</w:t>
            </w:r>
          </w:p>
        </w:tc>
        <w:tc>
          <w:tcPr>
            <w:tcW w:w="62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rPr>
                <w:rFonts w:eastAsia="微软雅黑"/>
              </w:rPr>
            </w:pPr>
            <w:r>
              <w:rPr>
                <w:rFonts w:hint="eastAsia" w:ascii="仿宋" w:hAnsi="仿宋" w:eastAsia="仿宋" w:cs="仿宋"/>
                <w:kern w:val="2"/>
              </w:rPr>
              <w:t>至少包含1000个LICENSE，并支持后续升级。1U机架式，6个千兆电口、2个USB 2.0接口、1个VGA接口，1个扩展槽。</w:t>
            </w:r>
          </w:p>
        </w:tc>
      </w:tr>
      <w:tr>
        <w:tblPrEx>
          <w:tblCellMar>
            <w:top w:w="0" w:type="dxa"/>
            <w:left w:w="0" w:type="dxa"/>
            <w:bottom w:w="0" w:type="dxa"/>
            <w:right w:w="0" w:type="dxa"/>
          </w:tblCellMar>
        </w:tblPrEx>
        <w:trPr>
          <w:trHeight w:val="987" w:hRule="atLeast"/>
        </w:trPr>
        <w:tc>
          <w:tcPr>
            <w:tcW w:w="2089"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jc w:val="center"/>
            </w:pPr>
            <w:r>
              <w:rPr>
                <w:rStyle w:val="12"/>
                <w:rFonts w:hint="eastAsia" w:ascii="微软雅黑" w:hAnsi="微软雅黑" w:eastAsia="微软雅黑" w:cs="微软雅黑"/>
                <w:b w:val="0"/>
                <w:bCs/>
              </w:rPr>
              <w:t>架构要求</w:t>
            </w:r>
          </w:p>
        </w:tc>
        <w:tc>
          <w:tcPr>
            <w:tcW w:w="62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rPr>
                <w:rFonts w:ascii="仿宋" w:hAnsi="仿宋" w:eastAsia="仿宋" w:cs="仿宋"/>
                <w:kern w:val="2"/>
              </w:rPr>
            </w:pPr>
            <w:r>
              <w:rPr>
                <w:rFonts w:hint="eastAsia" w:ascii="仿宋" w:hAnsi="仿宋" w:eastAsia="仿宋" w:cs="仿宋"/>
                <w:kern w:val="2"/>
              </w:rPr>
              <w:t>标准采用B/S架构，便利易操作管理设计；</w:t>
            </w:r>
          </w:p>
          <w:p>
            <w:pPr>
              <w:pStyle w:val="8"/>
              <w:widowControl/>
              <w:spacing w:beforeAutospacing="0" w:afterAutospacing="0"/>
              <w:rPr>
                <w:rFonts w:ascii="仿宋" w:hAnsi="仿宋" w:eastAsia="仿宋" w:cs="仿宋"/>
                <w:kern w:val="2"/>
              </w:rPr>
            </w:pPr>
            <w:r>
              <w:rPr>
                <w:rFonts w:hint="eastAsia" w:ascii="仿宋" w:hAnsi="仿宋" w:eastAsia="仿宋" w:cs="仿宋"/>
                <w:kern w:val="2"/>
              </w:rPr>
              <w:t>支持VPN/拨号接入、分支机构联动管理；</w:t>
            </w:r>
          </w:p>
          <w:p>
            <w:pPr>
              <w:pStyle w:val="8"/>
              <w:widowControl/>
              <w:spacing w:beforeAutospacing="0" w:afterAutospacing="0"/>
              <w:rPr>
                <w:rFonts w:ascii="仿宋" w:hAnsi="仿宋" w:eastAsia="仿宋" w:cs="仿宋"/>
                <w:kern w:val="2"/>
              </w:rPr>
            </w:pPr>
            <w:r>
              <w:rPr>
                <w:rFonts w:hint="eastAsia" w:ascii="仿宋" w:hAnsi="仿宋" w:eastAsia="仿宋" w:cs="仿宋"/>
                <w:kern w:val="2"/>
              </w:rPr>
              <w:t>服务器系统采用Linux操作系统；</w:t>
            </w:r>
          </w:p>
          <w:p>
            <w:pPr>
              <w:pStyle w:val="8"/>
              <w:widowControl/>
              <w:spacing w:beforeAutospacing="0" w:afterAutospacing="0"/>
              <w:rPr>
                <w:rFonts w:ascii="仿宋" w:hAnsi="仿宋" w:eastAsia="仿宋" w:cs="仿宋"/>
                <w:kern w:val="2"/>
              </w:rPr>
            </w:pPr>
            <w:r>
              <w:rPr>
                <w:rFonts w:hint="eastAsia" w:ascii="仿宋" w:hAnsi="仿宋" w:eastAsia="仿宋" w:cs="仿宋"/>
                <w:kern w:val="2"/>
              </w:rPr>
              <w:t>提供断电保护机制，确保异常时网络不受影响。</w:t>
            </w:r>
          </w:p>
        </w:tc>
      </w:tr>
      <w:tr>
        <w:tblPrEx>
          <w:tblCellMar>
            <w:top w:w="0" w:type="dxa"/>
            <w:left w:w="0" w:type="dxa"/>
            <w:bottom w:w="0" w:type="dxa"/>
            <w:right w:w="0" w:type="dxa"/>
          </w:tblCellMar>
        </w:tblPrEx>
        <w:trPr>
          <w:trHeight w:val="500" w:hRule="atLeast"/>
        </w:trPr>
        <w:tc>
          <w:tcPr>
            <w:tcW w:w="2089"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jc w:val="center"/>
            </w:pPr>
            <w:r>
              <w:rPr>
                <w:rFonts w:hint="eastAsia" w:ascii="微软雅黑" w:hAnsi="微软雅黑" w:eastAsia="微软雅黑" w:cs="微软雅黑"/>
                <w:b/>
                <w:sz w:val="18"/>
                <w:szCs w:val="18"/>
              </w:rPr>
              <w:t>★</w:t>
            </w:r>
            <w:r>
              <w:rPr>
                <w:rStyle w:val="12"/>
                <w:rFonts w:hint="eastAsia" w:ascii="微软雅黑" w:hAnsi="微软雅黑" w:eastAsia="微软雅黑" w:cs="微软雅黑"/>
                <w:b w:val="0"/>
                <w:bCs/>
              </w:rPr>
              <w:t>性能要求</w:t>
            </w:r>
          </w:p>
        </w:tc>
        <w:tc>
          <w:tcPr>
            <w:tcW w:w="62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rPr>
                <w:rFonts w:ascii="仿宋" w:hAnsi="仿宋" w:eastAsia="仿宋" w:cs="仿宋"/>
                <w:kern w:val="2"/>
              </w:rPr>
            </w:pPr>
            <w:r>
              <w:rPr>
                <w:rFonts w:hint="eastAsia" w:ascii="仿宋" w:hAnsi="仿宋" w:eastAsia="仿宋" w:cs="仿宋"/>
                <w:kern w:val="2"/>
              </w:rPr>
              <w:t>客户端插件支持X32\X64平台的Win2003/XP/Vista/WIN7/WIN8/WIN10操作系统；客户端插件支持银河麒麟、UOS ARM版以及中标麒麟操作系统。</w:t>
            </w:r>
          </w:p>
        </w:tc>
      </w:tr>
      <w:tr>
        <w:tblPrEx>
          <w:tblCellMar>
            <w:top w:w="0" w:type="dxa"/>
            <w:left w:w="0" w:type="dxa"/>
            <w:bottom w:w="0" w:type="dxa"/>
            <w:right w:w="0" w:type="dxa"/>
          </w:tblCellMar>
        </w:tblPrEx>
        <w:trPr>
          <w:trHeight w:val="500" w:hRule="atLeast"/>
        </w:trPr>
        <w:tc>
          <w:tcPr>
            <w:tcW w:w="2089"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jc w:val="center"/>
            </w:pPr>
            <w:r>
              <w:rPr>
                <w:rStyle w:val="12"/>
                <w:rFonts w:hint="eastAsia" w:ascii="微软雅黑" w:hAnsi="微软雅黑" w:eastAsia="微软雅黑" w:cs="微软雅黑"/>
                <w:b w:val="0"/>
                <w:bCs/>
              </w:rPr>
              <w:t>安全要求</w:t>
            </w:r>
          </w:p>
        </w:tc>
        <w:tc>
          <w:tcPr>
            <w:tcW w:w="62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rPr>
                <w:rFonts w:ascii="仿宋" w:hAnsi="仿宋" w:eastAsia="仿宋" w:cs="仿宋"/>
                <w:kern w:val="2"/>
              </w:rPr>
            </w:pPr>
            <w:r>
              <w:rPr>
                <w:rFonts w:hint="eastAsia" w:ascii="仿宋" w:hAnsi="仿宋" w:eastAsia="仿宋" w:cs="仿宋"/>
                <w:kern w:val="2"/>
              </w:rPr>
              <w:t>平台与客户端之间通讯、策略下发、文件分发等交互全程采用https加密协议和定制端口（非443）；</w:t>
            </w:r>
          </w:p>
        </w:tc>
      </w:tr>
      <w:tr>
        <w:tblPrEx>
          <w:tblCellMar>
            <w:top w:w="0" w:type="dxa"/>
            <w:left w:w="0" w:type="dxa"/>
            <w:bottom w:w="0" w:type="dxa"/>
            <w:right w:w="0" w:type="dxa"/>
          </w:tblCellMar>
        </w:tblPrEx>
        <w:trPr>
          <w:trHeight w:val="1475" w:hRule="atLeast"/>
        </w:trPr>
        <w:tc>
          <w:tcPr>
            <w:tcW w:w="2089"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jc w:val="center"/>
            </w:pPr>
            <w:r>
              <w:rPr>
                <w:rStyle w:val="12"/>
                <w:rFonts w:hint="eastAsia" w:ascii="微软雅黑" w:hAnsi="微软雅黑" w:eastAsia="微软雅黑" w:cs="微软雅黑"/>
                <w:b w:val="0"/>
                <w:bCs/>
              </w:rPr>
              <w:t>平台要求</w:t>
            </w:r>
          </w:p>
        </w:tc>
        <w:tc>
          <w:tcPr>
            <w:tcW w:w="62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rPr>
                <w:rFonts w:ascii="仿宋" w:hAnsi="仿宋" w:eastAsia="仿宋" w:cs="仿宋"/>
                <w:kern w:val="2"/>
              </w:rPr>
            </w:pPr>
            <w:r>
              <w:rPr>
                <w:rFonts w:hint="eastAsia" w:ascii="仿宋" w:hAnsi="仿宋" w:eastAsia="仿宋" w:cs="仿宋"/>
                <w:kern w:val="2"/>
              </w:rPr>
              <w:t>产品控制平台管理账户支持三权分立，具有系统管理员、系统审计员、系统操作员管理账号；</w:t>
            </w:r>
          </w:p>
          <w:p>
            <w:pPr>
              <w:pStyle w:val="8"/>
              <w:widowControl/>
              <w:spacing w:beforeAutospacing="0" w:afterAutospacing="0"/>
              <w:rPr>
                <w:rFonts w:ascii="仿宋" w:hAnsi="仿宋" w:eastAsia="仿宋" w:cs="仿宋"/>
                <w:kern w:val="2"/>
              </w:rPr>
            </w:pPr>
            <w:r>
              <w:rPr>
                <w:rFonts w:hint="eastAsia" w:ascii="仿宋" w:hAnsi="仿宋" w:eastAsia="仿宋" w:cs="仿宋"/>
                <w:kern w:val="2"/>
              </w:rPr>
              <w:t>系统支持能够根据管理需要自定义添加账号；</w:t>
            </w:r>
          </w:p>
          <w:p>
            <w:pPr>
              <w:pStyle w:val="8"/>
              <w:widowControl/>
              <w:spacing w:beforeAutospacing="0" w:afterAutospacing="0"/>
              <w:rPr>
                <w:rFonts w:ascii="仿宋" w:hAnsi="仿宋" w:eastAsia="仿宋" w:cs="仿宋"/>
                <w:kern w:val="2"/>
              </w:rPr>
            </w:pPr>
            <w:r>
              <w:rPr>
                <w:rFonts w:hint="eastAsia" w:ascii="仿宋" w:hAnsi="仿宋" w:eastAsia="仿宋" w:cs="仿宋"/>
                <w:kern w:val="2"/>
              </w:rPr>
              <w:t>支持Syslog日志服务器对接设置，可传输系统登录、系统操作、终端用户登陆、终端用户修复、移动用户登陆、移动用户修复、高级用户登录、来宾用户登录等日志信息；</w:t>
            </w:r>
          </w:p>
        </w:tc>
      </w:tr>
      <w:tr>
        <w:tblPrEx>
          <w:tblCellMar>
            <w:top w:w="0" w:type="dxa"/>
            <w:left w:w="0" w:type="dxa"/>
            <w:bottom w:w="0" w:type="dxa"/>
            <w:right w:w="0" w:type="dxa"/>
          </w:tblCellMar>
        </w:tblPrEx>
        <w:trPr>
          <w:trHeight w:val="987" w:hRule="atLeast"/>
        </w:trPr>
        <w:tc>
          <w:tcPr>
            <w:tcW w:w="2089"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jc w:val="center"/>
            </w:pPr>
            <w:r>
              <w:rPr>
                <w:rStyle w:val="12"/>
                <w:rFonts w:hint="eastAsia" w:ascii="微软雅黑" w:hAnsi="微软雅黑" w:eastAsia="微软雅黑" w:cs="微软雅黑"/>
                <w:b w:val="0"/>
                <w:bCs/>
              </w:rPr>
              <w:t>准入技术要求</w:t>
            </w:r>
          </w:p>
        </w:tc>
        <w:tc>
          <w:tcPr>
            <w:tcW w:w="62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8"/>
              <w:widowControl/>
              <w:wordWrap w:val="0"/>
              <w:spacing w:beforeAutospacing="0" w:afterAutospacing="0"/>
              <w:rPr>
                <w:rFonts w:ascii="仿宋" w:hAnsi="仿宋" w:eastAsia="仿宋" w:cs="仿宋"/>
                <w:kern w:val="2"/>
              </w:rPr>
            </w:pPr>
            <w:r>
              <w:rPr>
                <w:rFonts w:hint="eastAsia" w:ascii="仿宋" w:hAnsi="仿宋" w:eastAsia="仿宋" w:cs="仿宋"/>
                <w:kern w:val="2"/>
              </w:rPr>
              <w:t>准入技术支持VLAN安全网关、策略路由、DHCP、端口复制、透明网桥、Web-portal等方式；</w:t>
            </w:r>
          </w:p>
          <w:p>
            <w:pPr>
              <w:pStyle w:val="8"/>
              <w:widowControl/>
              <w:wordWrap w:val="0"/>
              <w:spacing w:beforeAutospacing="0" w:afterAutospacing="0"/>
              <w:rPr>
                <w:rFonts w:ascii="仿宋" w:hAnsi="仿宋" w:eastAsia="仿宋" w:cs="仿宋"/>
                <w:kern w:val="2"/>
              </w:rPr>
            </w:pPr>
            <w:r>
              <w:rPr>
                <w:rFonts w:hint="eastAsia" w:ascii="仿宋" w:hAnsi="仿宋" w:eastAsia="仿宋" w:cs="仿宋"/>
                <w:kern w:val="2"/>
              </w:rPr>
              <w:t>可对网络划分不同的网络访问区域，至少能够划分安全用户访问区域、来宾用户访问区域、隔离用户访问区域，各访问区域可以根据实际需要进行修改；</w:t>
            </w:r>
          </w:p>
        </w:tc>
      </w:tr>
      <w:tr>
        <w:tblPrEx>
          <w:tblCellMar>
            <w:top w:w="0" w:type="dxa"/>
            <w:left w:w="0" w:type="dxa"/>
            <w:bottom w:w="0" w:type="dxa"/>
            <w:right w:w="0" w:type="dxa"/>
          </w:tblCellMar>
        </w:tblPrEx>
        <w:trPr>
          <w:trHeight w:val="744" w:hRule="atLeast"/>
        </w:trPr>
        <w:tc>
          <w:tcPr>
            <w:tcW w:w="2089"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jc w:val="center"/>
            </w:pPr>
            <w:r>
              <w:rPr>
                <w:rStyle w:val="12"/>
                <w:rFonts w:hint="eastAsia" w:ascii="微软雅黑" w:hAnsi="微软雅黑" w:eastAsia="微软雅黑" w:cs="微软雅黑"/>
                <w:b w:val="0"/>
                <w:bCs/>
              </w:rPr>
              <w:t>准入实施要求</w:t>
            </w:r>
          </w:p>
        </w:tc>
        <w:tc>
          <w:tcPr>
            <w:tcW w:w="62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8"/>
              <w:widowControl/>
              <w:wordWrap w:val="0"/>
              <w:spacing w:beforeAutospacing="0" w:afterAutospacing="0"/>
              <w:rPr>
                <w:rFonts w:ascii="仿宋" w:hAnsi="仿宋" w:eastAsia="仿宋" w:cs="仿宋"/>
                <w:kern w:val="2"/>
              </w:rPr>
            </w:pPr>
            <w:r>
              <w:rPr>
                <w:rFonts w:hint="eastAsia" w:ascii="仿宋" w:hAnsi="仿宋" w:eastAsia="仿宋" w:cs="仿宋"/>
                <w:kern w:val="2"/>
              </w:rPr>
              <w:t>支持无客户端违规外联检测的功能；</w:t>
            </w:r>
          </w:p>
          <w:p>
            <w:pPr>
              <w:pStyle w:val="8"/>
              <w:widowControl/>
              <w:wordWrap w:val="0"/>
              <w:spacing w:beforeAutospacing="0" w:afterAutospacing="0"/>
              <w:rPr>
                <w:rFonts w:ascii="仿宋" w:hAnsi="仿宋" w:eastAsia="仿宋" w:cs="仿宋"/>
                <w:kern w:val="2"/>
              </w:rPr>
            </w:pPr>
            <w:r>
              <w:rPr>
                <w:rFonts w:hint="eastAsia" w:ascii="仿宋" w:hAnsi="仿宋" w:eastAsia="仿宋" w:cs="仿宋"/>
                <w:kern w:val="2"/>
              </w:rPr>
              <w:t>支持阻断跨NAT路由器下未安装插件的计算机；</w:t>
            </w:r>
          </w:p>
          <w:p>
            <w:pPr>
              <w:pStyle w:val="8"/>
              <w:widowControl/>
              <w:wordWrap w:val="0"/>
              <w:spacing w:beforeAutospacing="0" w:afterAutospacing="0"/>
              <w:rPr>
                <w:rFonts w:ascii="仿宋" w:hAnsi="仿宋" w:eastAsia="仿宋" w:cs="仿宋"/>
                <w:kern w:val="2"/>
              </w:rPr>
            </w:pPr>
            <w:r>
              <w:rPr>
                <w:rFonts w:hint="eastAsia" w:ascii="仿宋" w:hAnsi="仿宋" w:eastAsia="仿宋" w:cs="仿宋"/>
                <w:kern w:val="2"/>
              </w:rPr>
              <w:t>能够与终端的安全测评结果联动，根据测评结果进行终端的阻断与放行处理；</w:t>
            </w:r>
          </w:p>
        </w:tc>
      </w:tr>
      <w:tr>
        <w:tblPrEx>
          <w:tblCellMar>
            <w:top w:w="0" w:type="dxa"/>
            <w:left w:w="0" w:type="dxa"/>
            <w:bottom w:w="0" w:type="dxa"/>
            <w:right w:w="0" w:type="dxa"/>
          </w:tblCellMar>
        </w:tblPrEx>
        <w:trPr>
          <w:trHeight w:val="500" w:hRule="atLeast"/>
        </w:trPr>
        <w:tc>
          <w:tcPr>
            <w:tcW w:w="2089"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jc w:val="center"/>
            </w:pPr>
            <w:r>
              <w:rPr>
                <w:rStyle w:val="12"/>
                <w:rFonts w:hint="eastAsia" w:ascii="微软雅黑" w:hAnsi="微软雅黑" w:eastAsia="微软雅黑" w:cs="微软雅黑"/>
                <w:b w:val="0"/>
                <w:bCs/>
              </w:rPr>
              <w:t>网络拓扑</w:t>
            </w:r>
          </w:p>
        </w:tc>
        <w:tc>
          <w:tcPr>
            <w:tcW w:w="6289"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8"/>
              <w:widowControl/>
              <w:wordWrap w:val="0"/>
              <w:spacing w:beforeAutospacing="0" w:afterAutospacing="0"/>
              <w:rPr>
                <w:rFonts w:ascii="仿宋" w:hAnsi="仿宋" w:eastAsia="仿宋" w:cs="仿宋"/>
                <w:kern w:val="2"/>
              </w:rPr>
            </w:pPr>
            <w:r>
              <w:rPr>
                <w:rFonts w:hint="eastAsia" w:ascii="仿宋" w:hAnsi="仿宋" w:eastAsia="仿宋" w:cs="仿宋"/>
                <w:kern w:val="2"/>
              </w:rPr>
              <w:t>支持对交换机及路由器等网络设备进行自动发现及展现，展示出网内拓扑情况；违规接入的终端可在拓扑图中通过上联交换机进行颜色报警或提示；</w:t>
            </w:r>
          </w:p>
        </w:tc>
      </w:tr>
      <w:tr>
        <w:tblPrEx>
          <w:tblCellMar>
            <w:top w:w="0" w:type="dxa"/>
            <w:left w:w="0" w:type="dxa"/>
            <w:bottom w:w="0" w:type="dxa"/>
            <w:right w:w="0" w:type="dxa"/>
          </w:tblCellMar>
        </w:tblPrEx>
        <w:trPr>
          <w:trHeight w:val="500" w:hRule="atLeast"/>
        </w:trPr>
        <w:tc>
          <w:tcPr>
            <w:tcW w:w="2089"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jc w:val="center"/>
            </w:pPr>
            <w:r>
              <w:rPr>
                <w:rStyle w:val="12"/>
                <w:rFonts w:hint="eastAsia" w:ascii="微软雅黑" w:hAnsi="微软雅黑" w:eastAsia="微软雅黑" w:cs="微软雅黑"/>
                <w:b w:val="0"/>
                <w:bCs/>
              </w:rPr>
              <w:t>IP地址管理</w:t>
            </w:r>
          </w:p>
        </w:tc>
        <w:tc>
          <w:tcPr>
            <w:tcW w:w="6289"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8"/>
              <w:widowControl/>
              <w:wordWrap w:val="0"/>
              <w:spacing w:beforeAutospacing="0" w:afterAutospacing="0"/>
              <w:rPr>
                <w:rFonts w:ascii="仿宋" w:hAnsi="仿宋" w:eastAsia="仿宋" w:cs="仿宋"/>
                <w:kern w:val="2"/>
              </w:rPr>
            </w:pPr>
            <w:r>
              <w:rPr>
                <w:rFonts w:hint="eastAsia" w:ascii="仿宋" w:hAnsi="仿宋" w:eastAsia="仿宋" w:cs="仿宋"/>
                <w:kern w:val="2"/>
              </w:rPr>
              <w:t>支持以IP地址池的方式图形化查看网络内的已占用、未占用、长期离线和非法入侵IP，可在地址池中的各地址添加备注，并有报警和图表展示功能。</w:t>
            </w:r>
          </w:p>
        </w:tc>
      </w:tr>
      <w:tr>
        <w:tblPrEx>
          <w:tblCellMar>
            <w:top w:w="0" w:type="dxa"/>
            <w:left w:w="0" w:type="dxa"/>
            <w:bottom w:w="0" w:type="dxa"/>
            <w:right w:w="0" w:type="dxa"/>
          </w:tblCellMar>
        </w:tblPrEx>
        <w:trPr>
          <w:trHeight w:val="500" w:hRule="atLeast"/>
        </w:trPr>
        <w:tc>
          <w:tcPr>
            <w:tcW w:w="2089"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jc w:val="center"/>
            </w:pPr>
            <w:r>
              <w:rPr>
                <w:rFonts w:hint="eastAsia" w:ascii="微软雅黑" w:hAnsi="微软雅黑" w:eastAsia="微软雅黑" w:cs="微软雅黑"/>
                <w:b/>
                <w:sz w:val="18"/>
                <w:szCs w:val="18"/>
              </w:rPr>
              <w:t>★</w:t>
            </w:r>
            <w:r>
              <w:rPr>
                <w:rStyle w:val="12"/>
                <w:rFonts w:hint="eastAsia" w:ascii="微软雅黑" w:hAnsi="微软雅黑" w:eastAsia="微软雅黑" w:cs="微软雅黑"/>
                <w:b w:val="0"/>
                <w:bCs/>
              </w:rPr>
              <w:t>国产操作系统管控</w:t>
            </w:r>
          </w:p>
        </w:tc>
        <w:tc>
          <w:tcPr>
            <w:tcW w:w="628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8"/>
              <w:widowControl/>
              <w:spacing w:beforeAutospacing="0" w:afterAutospacing="0"/>
              <w:rPr>
                <w:rFonts w:ascii="仿宋" w:hAnsi="仿宋" w:eastAsia="仿宋" w:cs="仿宋"/>
                <w:kern w:val="2"/>
              </w:rPr>
            </w:pPr>
            <w:r>
              <w:rPr>
                <w:rFonts w:hint="eastAsia" w:ascii="仿宋" w:hAnsi="仿宋" w:eastAsia="仿宋" w:cs="仿宋"/>
                <w:kern w:val="2"/>
              </w:rPr>
              <w:t>支持银河麒麟V10 ARM MIPS、统信UOSV20 ARM MIPS版操作系统的登录认证、资产收集、U盘管控和进程黑名单管理以及非法外联报警。</w:t>
            </w:r>
          </w:p>
        </w:tc>
      </w:tr>
      <w:tr>
        <w:tblPrEx>
          <w:tblCellMar>
            <w:top w:w="0" w:type="dxa"/>
            <w:left w:w="0" w:type="dxa"/>
            <w:bottom w:w="0" w:type="dxa"/>
            <w:right w:w="0" w:type="dxa"/>
          </w:tblCellMar>
        </w:tblPrEx>
        <w:trPr>
          <w:trHeight w:val="744" w:hRule="atLeast"/>
        </w:trPr>
        <w:tc>
          <w:tcPr>
            <w:tcW w:w="2089"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jc w:val="center"/>
            </w:pPr>
            <w:r>
              <w:rPr>
                <w:rStyle w:val="12"/>
                <w:rFonts w:hint="eastAsia" w:ascii="微软雅黑" w:hAnsi="微软雅黑" w:eastAsia="微软雅黑" w:cs="微软雅黑"/>
                <w:b w:val="0"/>
                <w:bCs/>
              </w:rPr>
              <w:t>设备信息</w:t>
            </w:r>
          </w:p>
        </w:tc>
        <w:tc>
          <w:tcPr>
            <w:tcW w:w="62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8"/>
              <w:widowControl/>
              <w:wordWrap w:val="0"/>
              <w:spacing w:beforeAutospacing="0" w:afterAutospacing="0"/>
              <w:rPr>
                <w:rFonts w:ascii="仿宋" w:hAnsi="仿宋" w:eastAsia="仿宋" w:cs="仿宋"/>
                <w:kern w:val="2"/>
              </w:rPr>
            </w:pPr>
            <w:r>
              <w:rPr>
                <w:rFonts w:hint="eastAsia" w:ascii="仿宋" w:hAnsi="仿宋" w:eastAsia="仿宋" w:cs="仿宋"/>
                <w:kern w:val="2"/>
              </w:rPr>
              <w:t>支持通过全局设备感知技术自动发现网络中的PC、移动终端、智能设备和哑终端，可详细展示设备的IP、MAC、主机名、操作系统、设备更新时间、在线状态和准入可控状态；并可对设备进行信任、隔离等操作，支持批量操作。</w:t>
            </w:r>
          </w:p>
        </w:tc>
      </w:tr>
      <w:tr>
        <w:tblPrEx>
          <w:tblCellMar>
            <w:top w:w="0" w:type="dxa"/>
            <w:left w:w="0" w:type="dxa"/>
            <w:bottom w:w="0" w:type="dxa"/>
            <w:right w:w="0" w:type="dxa"/>
          </w:tblCellMar>
        </w:tblPrEx>
        <w:trPr>
          <w:trHeight w:val="1475" w:hRule="atLeast"/>
        </w:trPr>
        <w:tc>
          <w:tcPr>
            <w:tcW w:w="2089"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jc w:val="center"/>
              <w:rPr>
                <w:rStyle w:val="12"/>
                <w:rFonts w:ascii="微软雅黑" w:hAnsi="微软雅黑" w:eastAsia="微软雅黑" w:cs="微软雅黑"/>
                <w:bCs/>
              </w:rPr>
            </w:pPr>
            <w:r>
              <w:rPr>
                <w:rFonts w:hint="eastAsia" w:ascii="微软雅黑" w:hAnsi="微软雅黑" w:eastAsia="微软雅黑" w:cs="微软雅黑"/>
                <w:b/>
                <w:sz w:val="18"/>
                <w:szCs w:val="18"/>
              </w:rPr>
              <w:t>★</w:t>
            </w:r>
            <w:r>
              <w:rPr>
                <w:rFonts w:hint="eastAsia" w:ascii="微软雅黑" w:hAnsi="微软雅黑" w:eastAsia="微软雅黑"/>
                <w:b/>
                <w:sz w:val="18"/>
                <w:szCs w:val="18"/>
              </w:rPr>
              <w:t>远程协助</w:t>
            </w:r>
          </w:p>
        </w:tc>
        <w:tc>
          <w:tcPr>
            <w:tcW w:w="6289" w:type="dxa"/>
            <w:tcBorders>
              <w:top w:val="nil"/>
              <w:left w:val="nil"/>
              <w:bottom w:val="single" w:color="auto" w:sz="6" w:space="0"/>
              <w:right w:val="single" w:color="auto" w:sz="6" w:space="0"/>
            </w:tcBorders>
            <w:shd w:val="clear" w:color="auto" w:fill="auto"/>
            <w:tcMar>
              <w:left w:w="105" w:type="dxa"/>
              <w:right w:w="105" w:type="dxa"/>
            </w:tcMar>
            <w:vAlign w:val="center"/>
          </w:tcPr>
          <w:p>
            <w:pPr>
              <w:rPr>
                <w:rFonts w:ascii="仿宋" w:hAnsi="仿宋" w:eastAsia="仿宋" w:cs="仿宋"/>
                <w:sz w:val="24"/>
                <w:szCs w:val="24"/>
              </w:rPr>
            </w:pPr>
            <w:r>
              <w:rPr>
                <w:rFonts w:ascii="仿宋" w:hAnsi="仿宋" w:eastAsia="仿宋" w:cs="仿宋"/>
                <w:sz w:val="24"/>
                <w:szCs w:val="24"/>
              </w:rPr>
              <w:t>集成多种桌面支持工具，包括：远程对话、远程文件传输、远程执行、远程重启、远程截屏等功能；</w:t>
            </w:r>
            <w:r>
              <w:rPr>
                <w:rFonts w:hint="eastAsia" w:ascii="仿宋" w:hAnsi="仿宋" w:eastAsia="仿宋" w:cs="仿宋"/>
                <w:sz w:val="24"/>
                <w:szCs w:val="24"/>
              </w:rPr>
              <w:t>支持客户端主动/被动进行远程连接。远程控制不依赖于用户是否登录，也可以通过远程控制进行用户的注销和切换。管理端在控制用户端时，可以远程关闭用户端键鼠，实现完全控制，远程桌面管理发起时，应保证画面的实时性，实现操作和响应画面传输在1秒之内完成，支持全局热键远程执行的应用；</w:t>
            </w:r>
          </w:p>
          <w:p>
            <w:pPr>
              <w:rPr>
                <w:rFonts w:ascii="仿宋" w:hAnsi="仿宋" w:eastAsia="仿宋" w:cs="仿宋"/>
                <w:sz w:val="24"/>
                <w:szCs w:val="24"/>
              </w:rPr>
            </w:pPr>
            <w:r>
              <w:rPr>
                <w:rFonts w:hint="eastAsia" w:ascii="仿宋" w:hAnsi="仿宋" w:eastAsia="仿宋" w:cs="仿宋"/>
                <w:sz w:val="24"/>
                <w:szCs w:val="24"/>
              </w:rPr>
              <w:t>远程会话功能支持文字交互，支持强制与请求交互两种远程控制方式；</w:t>
            </w:r>
          </w:p>
        </w:tc>
      </w:tr>
      <w:tr>
        <w:tblPrEx>
          <w:tblCellMar>
            <w:top w:w="0" w:type="dxa"/>
            <w:left w:w="0" w:type="dxa"/>
            <w:bottom w:w="0" w:type="dxa"/>
            <w:right w:w="0" w:type="dxa"/>
          </w:tblCellMar>
        </w:tblPrEx>
        <w:trPr>
          <w:trHeight w:val="500" w:hRule="atLeast"/>
        </w:trPr>
        <w:tc>
          <w:tcPr>
            <w:tcW w:w="2089"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jc w:val="center"/>
            </w:pPr>
            <w:r>
              <w:rPr>
                <w:rStyle w:val="12"/>
                <w:rFonts w:hint="eastAsia" w:ascii="微软雅黑" w:hAnsi="微软雅黑" w:eastAsia="微软雅黑" w:cs="微软雅黑"/>
                <w:b w:val="0"/>
                <w:bCs/>
              </w:rPr>
              <w:t>例外设置</w:t>
            </w:r>
          </w:p>
        </w:tc>
        <w:tc>
          <w:tcPr>
            <w:tcW w:w="62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rPr>
                <w:rFonts w:ascii="仿宋" w:hAnsi="仿宋" w:eastAsia="仿宋" w:cs="仿宋"/>
                <w:kern w:val="2"/>
              </w:rPr>
            </w:pPr>
            <w:r>
              <w:rPr>
                <w:rFonts w:hint="eastAsia" w:ascii="仿宋" w:hAnsi="仿宋" w:eastAsia="仿宋" w:cs="仿宋"/>
                <w:kern w:val="2"/>
              </w:rPr>
              <w:t>支持针对特殊终端的白名单放行处理，无须安装插件测评即可入网；放行依据包括IP地址、MAC地址、IP地址段；</w:t>
            </w:r>
          </w:p>
        </w:tc>
      </w:tr>
      <w:tr>
        <w:tblPrEx>
          <w:tblCellMar>
            <w:top w:w="0" w:type="dxa"/>
            <w:left w:w="0" w:type="dxa"/>
            <w:bottom w:w="0" w:type="dxa"/>
            <w:right w:w="0" w:type="dxa"/>
          </w:tblCellMar>
        </w:tblPrEx>
        <w:trPr>
          <w:trHeight w:val="1719" w:hRule="atLeast"/>
        </w:trPr>
        <w:tc>
          <w:tcPr>
            <w:tcW w:w="685"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pPr>
            <w:r>
              <w:rPr>
                <w:rStyle w:val="12"/>
                <w:rFonts w:hint="eastAsia" w:ascii="微软雅黑" w:hAnsi="微软雅黑" w:eastAsia="微软雅黑" w:cs="微软雅黑"/>
                <w:b w:val="0"/>
                <w:bCs/>
              </w:rPr>
              <w:t>违规外联管理</w:t>
            </w:r>
          </w:p>
        </w:tc>
        <w:tc>
          <w:tcPr>
            <w:tcW w:w="140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pPr>
            <w:r>
              <w:rPr>
                <w:rStyle w:val="12"/>
                <w:rFonts w:hint="eastAsia" w:ascii="微软雅黑" w:hAnsi="微软雅黑" w:eastAsia="微软雅黑" w:cs="微软雅黑"/>
                <w:b w:val="0"/>
                <w:bCs/>
              </w:rPr>
              <w:t>事前预防管理</w:t>
            </w:r>
          </w:p>
        </w:tc>
        <w:tc>
          <w:tcPr>
            <w:tcW w:w="6289"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rPr>
                <w:rFonts w:ascii="仿宋" w:hAnsi="仿宋" w:eastAsia="仿宋" w:cs="仿宋"/>
                <w:kern w:val="2"/>
              </w:rPr>
            </w:pPr>
            <w:r>
              <w:rPr>
                <w:rFonts w:hint="eastAsia" w:ascii="仿宋" w:hAnsi="仿宋" w:eastAsia="仿宋" w:cs="仿宋"/>
                <w:kern w:val="2"/>
              </w:rPr>
              <w:t>禁止使用无线网卡；</w:t>
            </w:r>
          </w:p>
          <w:p>
            <w:pPr>
              <w:pStyle w:val="8"/>
              <w:widowControl/>
              <w:spacing w:beforeAutospacing="0" w:afterAutospacing="0"/>
              <w:rPr>
                <w:rFonts w:ascii="仿宋" w:hAnsi="仿宋" w:eastAsia="仿宋" w:cs="仿宋"/>
                <w:kern w:val="2"/>
              </w:rPr>
            </w:pPr>
            <w:r>
              <w:rPr>
                <w:rFonts w:hint="eastAsia" w:ascii="仿宋" w:hAnsi="仿宋" w:eastAsia="仿宋" w:cs="仿宋"/>
                <w:kern w:val="2"/>
              </w:rPr>
              <w:t>禁用3G无线上网卡；</w:t>
            </w:r>
          </w:p>
          <w:p>
            <w:pPr>
              <w:pStyle w:val="8"/>
              <w:widowControl/>
              <w:spacing w:beforeAutospacing="0" w:afterAutospacing="0"/>
              <w:rPr>
                <w:rFonts w:ascii="仿宋" w:hAnsi="仿宋" w:eastAsia="仿宋" w:cs="仿宋"/>
                <w:kern w:val="2"/>
              </w:rPr>
            </w:pPr>
            <w:r>
              <w:rPr>
                <w:rFonts w:hint="eastAsia" w:ascii="仿宋" w:hAnsi="仿宋" w:eastAsia="仿宋" w:cs="仿宋"/>
                <w:kern w:val="2"/>
              </w:rPr>
              <w:t>禁止手机代理上网；</w:t>
            </w:r>
          </w:p>
          <w:p>
            <w:pPr>
              <w:pStyle w:val="8"/>
              <w:widowControl/>
              <w:spacing w:beforeAutospacing="0" w:afterAutospacing="0"/>
              <w:rPr>
                <w:rFonts w:ascii="仿宋" w:hAnsi="仿宋" w:eastAsia="仿宋" w:cs="仿宋"/>
                <w:kern w:val="2"/>
              </w:rPr>
            </w:pPr>
            <w:r>
              <w:rPr>
                <w:rFonts w:hint="eastAsia" w:ascii="仿宋" w:hAnsi="仿宋" w:eastAsia="仿宋" w:cs="仿宋"/>
                <w:kern w:val="2"/>
              </w:rPr>
              <w:t>禁止使用无线热点；</w:t>
            </w:r>
          </w:p>
          <w:p>
            <w:pPr>
              <w:pStyle w:val="8"/>
              <w:widowControl/>
              <w:spacing w:beforeAutospacing="0" w:afterAutospacing="0"/>
              <w:rPr>
                <w:rFonts w:ascii="仿宋" w:hAnsi="仿宋" w:eastAsia="仿宋" w:cs="仿宋"/>
                <w:kern w:val="2"/>
              </w:rPr>
            </w:pPr>
            <w:r>
              <w:rPr>
                <w:rFonts w:hint="eastAsia" w:ascii="仿宋" w:hAnsi="仿宋" w:eastAsia="仿宋" w:cs="仿宋"/>
                <w:kern w:val="2"/>
              </w:rPr>
              <w:t>禁止使用其它网卡；（支持对虚拟网卡的单独设置）</w:t>
            </w:r>
          </w:p>
          <w:p>
            <w:pPr>
              <w:pStyle w:val="8"/>
              <w:widowControl/>
              <w:spacing w:beforeAutospacing="0" w:afterAutospacing="0"/>
              <w:rPr>
                <w:rFonts w:ascii="仿宋" w:hAnsi="仿宋" w:eastAsia="仿宋" w:cs="仿宋"/>
                <w:kern w:val="2"/>
              </w:rPr>
            </w:pPr>
            <w:r>
              <w:rPr>
                <w:rFonts w:hint="eastAsia" w:ascii="仿宋" w:hAnsi="仿宋" w:eastAsia="仿宋" w:cs="仿宋"/>
                <w:kern w:val="2"/>
              </w:rPr>
              <w:t>IP/MAC绑定，可设置允许修改DNS；</w:t>
            </w:r>
          </w:p>
          <w:p>
            <w:pPr>
              <w:pStyle w:val="8"/>
              <w:widowControl/>
              <w:spacing w:beforeAutospacing="0" w:afterAutospacing="0"/>
              <w:rPr>
                <w:rFonts w:ascii="仿宋" w:hAnsi="仿宋" w:eastAsia="仿宋" w:cs="仿宋"/>
                <w:kern w:val="2"/>
              </w:rPr>
            </w:pPr>
            <w:r>
              <w:rPr>
                <w:rFonts w:hint="eastAsia" w:ascii="仿宋" w:hAnsi="仿宋" w:eastAsia="仿宋" w:cs="仿宋"/>
                <w:kern w:val="2"/>
              </w:rPr>
              <w:t>禁止使用调制解调器。</w:t>
            </w:r>
          </w:p>
        </w:tc>
      </w:tr>
      <w:tr>
        <w:tblPrEx>
          <w:tblCellMar>
            <w:top w:w="0" w:type="dxa"/>
            <w:left w:w="0" w:type="dxa"/>
            <w:bottom w:w="0" w:type="dxa"/>
            <w:right w:w="0" w:type="dxa"/>
          </w:tblCellMar>
        </w:tblPrEx>
        <w:trPr>
          <w:trHeight w:val="1475" w:hRule="atLeast"/>
        </w:trPr>
        <w:tc>
          <w:tcPr>
            <w:tcW w:w="685"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ascii="宋体"/>
                <w:sz w:val="24"/>
              </w:rPr>
            </w:pPr>
          </w:p>
        </w:tc>
        <w:tc>
          <w:tcPr>
            <w:tcW w:w="140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jc w:val="center"/>
            </w:pPr>
            <w:r>
              <w:rPr>
                <w:rStyle w:val="12"/>
                <w:rFonts w:hint="eastAsia" w:ascii="微软雅黑" w:hAnsi="微软雅黑" w:eastAsia="微软雅黑" w:cs="微软雅黑"/>
                <w:b w:val="0"/>
                <w:bCs/>
              </w:rPr>
              <w:t>事中阻断报警处理</w:t>
            </w:r>
          </w:p>
        </w:tc>
        <w:tc>
          <w:tcPr>
            <w:tcW w:w="62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rPr>
                <w:rFonts w:ascii="仿宋" w:hAnsi="仿宋" w:eastAsia="仿宋" w:cs="仿宋"/>
                <w:kern w:val="2"/>
              </w:rPr>
            </w:pPr>
            <w:r>
              <w:rPr>
                <w:rFonts w:hint="eastAsia" w:ascii="仿宋" w:hAnsi="仿宋" w:eastAsia="仿宋" w:cs="仿宋"/>
                <w:kern w:val="2"/>
              </w:rPr>
              <w:t>能够及时发现终端发生违规外联或具备外联的能力；</w:t>
            </w:r>
          </w:p>
          <w:p>
            <w:pPr>
              <w:pStyle w:val="8"/>
              <w:widowControl/>
              <w:spacing w:beforeAutospacing="0" w:afterAutospacing="0"/>
              <w:rPr>
                <w:rFonts w:ascii="仿宋" w:hAnsi="仿宋" w:eastAsia="仿宋" w:cs="仿宋"/>
                <w:kern w:val="2"/>
              </w:rPr>
            </w:pPr>
            <w:r>
              <w:rPr>
                <w:rFonts w:hint="eastAsia" w:ascii="仿宋" w:hAnsi="仿宋" w:eastAsia="仿宋" w:cs="仿宋"/>
                <w:kern w:val="2"/>
              </w:rPr>
              <w:t>违规外联后能够对违规终端进行报警提示操作，支持自定义终端报警内容；</w:t>
            </w:r>
          </w:p>
          <w:p>
            <w:pPr>
              <w:pStyle w:val="8"/>
              <w:widowControl/>
              <w:spacing w:beforeAutospacing="0" w:afterAutospacing="0"/>
              <w:rPr>
                <w:rFonts w:ascii="仿宋" w:hAnsi="仿宋" w:eastAsia="仿宋" w:cs="仿宋"/>
                <w:kern w:val="2"/>
              </w:rPr>
            </w:pPr>
            <w:r>
              <w:rPr>
                <w:rFonts w:hint="eastAsia" w:ascii="仿宋" w:hAnsi="仿宋" w:eastAsia="仿宋" w:cs="仿宋"/>
                <w:kern w:val="2"/>
              </w:rPr>
              <w:t>触发报警后，支持对终端进行放置隔离区、锁定屏幕、关闭计算机等应急处理措施；</w:t>
            </w:r>
          </w:p>
          <w:p>
            <w:pPr>
              <w:pStyle w:val="8"/>
              <w:widowControl/>
              <w:spacing w:beforeAutospacing="0" w:afterAutospacing="0"/>
              <w:rPr>
                <w:rFonts w:ascii="仿宋" w:hAnsi="仿宋" w:eastAsia="仿宋" w:cs="仿宋"/>
                <w:kern w:val="2"/>
              </w:rPr>
            </w:pPr>
            <w:r>
              <w:rPr>
                <w:rFonts w:hint="eastAsia" w:ascii="仿宋" w:hAnsi="仿宋" w:eastAsia="仿宋" w:cs="仿宋"/>
                <w:kern w:val="2"/>
              </w:rPr>
              <w:t>触发报警后，支持向管理员发送报警短信、报警邮件功能；</w:t>
            </w:r>
          </w:p>
          <w:p>
            <w:pPr>
              <w:pStyle w:val="8"/>
              <w:widowControl/>
              <w:spacing w:beforeAutospacing="0" w:afterAutospacing="0"/>
              <w:rPr>
                <w:rFonts w:ascii="仿宋" w:hAnsi="仿宋" w:eastAsia="仿宋" w:cs="仿宋"/>
                <w:kern w:val="2"/>
              </w:rPr>
            </w:pPr>
            <w:r>
              <w:rPr>
                <w:rFonts w:hint="eastAsia" w:ascii="仿宋" w:hAnsi="仿宋" w:eastAsia="仿宋" w:cs="仿宋"/>
                <w:kern w:val="2"/>
              </w:rPr>
              <w:t>触发报警关闭计算机时，支持进行关机前的缓冲时间设置；</w:t>
            </w:r>
          </w:p>
          <w:p>
            <w:pPr>
              <w:pStyle w:val="8"/>
              <w:widowControl/>
              <w:spacing w:beforeAutospacing="0" w:afterAutospacing="0"/>
              <w:rPr>
                <w:rFonts w:ascii="仿宋" w:hAnsi="仿宋" w:eastAsia="仿宋" w:cs="仿宋"/>
                <w:kern w:val="2"/>
              </w:rPr>
            </w:pPr>
            <w:r>
              <w:rPr>
                <w:rFonts w:hint="eastAsia" w:ascii="仿宋" w:hAnsi="仿宋" w:eastAsia="仿宋" w:cs="仿宋"/>
                <w:kern w:val="2"/>
              </w:rPr>
              <w:t>支持内网网段自定义功能，可自由调整内网IP范围。</w:t>
            </w:r>
          </w:p>
        </w:tc>
      </w:tr>
      <w:tr>
        <w:tblPrEx>
          <w:tblCellMar>
            <w:top w:w="0" w:type="dxa"/>
            <w:left w:w="0" w:type="dxa"/>
            <w:bottom w:w="0" w:type="dxa"/>
            <w:right w:w="0" w:type="dxa"/>
          </w:tblCellMar>
        </w:tblPrEx>
        <w:trPr>
          <w:trHeight w:val="744" w:hRule="atLeast"/>
        </w:trPr>
        <w:tc>
          <w:tcPr>
            <w:tcW w:w="685"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ascii="宋体"/>
                <w:sz w:val="24"/>
              </w:rPr>
            </w:pPr>
          </w:p>
        </w:tc>
        <w:tc>
          <w:tcPr>
            <w:tcW w:w="140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jc w:val="center"/>
            </w:pPr>
            <w:r>
              <w:rPr>
                <w:rStyle w:val="12"/>
                <w:rFonts w:hint="eastAsia" w:ascii="微软雅黑" w:hAnsi="微软雅黑" w:eastAsia="微软雅黑" w:cs="微软雅黑"/>
                <w:b w:val="0"/>
                <w:bCs/>
              </w:rPr>
              <w:t>事后报表统计管理</w:t>
            </w:r>
          </w:p>
        </w:tc>
        <w:tc>
          <w:tcPr>
            <w:tcW w:w="62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rPr>
                <w:rFonts w:ascii="仿宋" w:hAnsi="仿宋" w:eastAsia="仿宋" w:cs="仿宋"/>
                <w:kern w:val="2"/>
              </w:rPr>
            </w:pPr>
            <w:r>
              <w:rPr>
                <w:rFonts w:hint="eastAsia" w:ascii="仿宋" w:hAnsi="仿宋" w:eastAsia="仿宋" w:cs="仿宋"/>
                <w:kern w:val="2"/>
              </w:rPr>
              <w:t>支持对违规外联行为的事后数据统计汇总行为，汇总分析结果支持通过趋势图的形式进行展示；</w:t>
            </w:r>
          </w:p>
          <w:p>
            <w:pPr>
              <w:pStyle w:val="8"/>
              <w:widowControl/>
              <w:spacing w:beforeAutospacing="0" w:afterAutospacing="0"/>
              <w:rPr>
                <w:rFonts w:ascii="仿宋" w:hAnsi="仿宋" w:eastAsia="仿宋" w:cs="仿宋"/>
                <w:kern w:val="2"/>
              </w:rPr>
            </w:pPr>
            <w:r>
              <w:rPr>
                <w:rFonts w:hint="eastAsia" w:ascii="仿宋" w:hAnsi="仿宋" w:eastAsia="仿宋" w:cs="仿宋"/>
                <w:kern w:val="2"/>
              </w:rPr>
              <w:t>支持对报警信息的导出、打印功能。</w:t>
            </w:r>
          </w:p>
        </w:tc>
      </w:tr>
      <w:tr>
        <w:tblPrEx>
          <w:tblCellMar>
            <w:top w:w="0" w:type="dxa"/>
            <w:left w:w="0" w:type="dxa"/>
            <w:bottom w:w="0" w:type="dxa"/>
            <w:right w:w="0" w:type="dxa"/>
          </w:tblCellMar>
        </w:tblPrEx>
        <w:trPr>
          <w:trHeight w:val="256" w:hRule="atLeast"/>
        </w:trPr>
        <w:tc>
          <w:tcPr>
            <w:tcW w:w="2089"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jc w:val="center"/>
            </w:pPr>
            <w:r>
              <w:rPr>
                <w:rStyle w:val="12"/>
                <w:rFonts w:hint="eastAsia" w:ascii="微软雅黑" w:hAnsi="微软雅黑" w:eastAsia="微软雅黑" w:cs="微软雅黑"/>
                <w:b w:val="0"/>
                <w:bCs/>
              </w:rPr>
              <w:t>安全测评</w:t>
            </w:r>
          </w:p>
        </w:tc>
        <w:tc>
          <w:tcPr>
            <w:tcW w:w="6289"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8"/>
              <w:widowControl/>
              <w:wordWrap w:val="0"/>
              <w:spacing w:beforeAutospacing="0" w:afterAutospacing="0"/>
              <w:rPr>
                <w:rFonts w:ascii="仿宋" w:hAnsi="仿宋" w:eastAsia="仿宋" w:cs="仿宋"/>
                <w:kern w:val="2"/>
              </w:rPr>
            </w:pPr>
            <w:r>
              <w:rPr>
                <w:rFonts w:hint="eastAsia" w:ascii="仿宋" w:hAnsi="仿宋" w:eastAsia="仿宋" w:cs="仿宋"/>
                <w:kern w:val="2"/>
              </w:rPr>
              <w:t>支持安全测评项目的在线一键检测及一键全部修复功能；</w:t>
            </w:r>
          </w:p>
        </w:tc>
      </w:tr>
      <w:tr>
        <w:tblPrEx>
          <w:tblCellMar>
            <w:top w:w="0" w:type="dxa"/>
            <w:left w:w="0" w:type="dxa"/>
            <w:bottom w:w="0" w:type="dxa"/>
            <w:right w:w="0" w:type="dxa"/>
          </w:tblCellMar>
        </w:tblPrEx>
        <w:trPr>
          <w:trHeight w:val="500" w:hRule="atLeast"/>
        </w:trPr>
        <w:tc>
          <w:tcPr>
            <w:tcW w:w="2089"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jc w:val="center"/>
            </w:pPr>
            <w:r>
              <w:rPr>
                <w:rStyle w:val="12"/>
                <w:rFonts w:hint="eastAsia" w:ascii="微软雅黑" w:hAnsi="微软雅黑" w:eastAsia="微软雅黑" w:cs="微软雅黑"/>
                <w:b w:val="0"/>
                <w:bCs/>
              </w:rPr>
              <w:t>USB禁止使用</w:t>
            </w:r>
          </w:p>
        </w:tc>
        <w:tc>
          <w:tcPr>
            <w:tcW w:w="6289"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rPr>
                <w:rFonts w:ascii="仿宋" w:hAnsi="仿宋" w:eastAsia="仿宋" w:cs="仿宋"/>
                <w:kern w:val="2"/>
              </w:rPr>
            </w:pPr>
            <w:r>
              <w:rPr>
                <w:rFonts w:hint="eastAsia" w:ascii="仿宋" w:hAnsi="仿宋" w:eastAsia="仿宋" w:cs="仿宋"/>
                <w:kern w:val="2"/>
              </w:rPr>
              <w:t>支持对存储类USB设备进行禁用，不影响非存储类USB外设使用；</w:t>
            </w:r>
          </w:p>
          <w:p>
            <w:pPr>
              <w:pStyle w:val="8"/>
              <w:widowControl/>
              <w:spacing w:beforeAutospacing="0" w:afterAutospacing="0"/>
              <w:rPr>
                <w:rFonts w:ascii="仿宋" w:hAnsi="仿宋" w:eastAsia="仿宋" w:cs="仿宋"/>
                <w:kern w:val="2"/>
              </w:rPr>
            </w:pPr>
            <w:r>
              <w:rPr>
                <w:rFonts w:hint="eastAsia" w:ascii="仿宋" w:hAnsi="仿宋" w:eastAsia="仿宋" w:cs="仿宋"/>
                <w:kern w:val="2"/>
              </w:rPr>
              <w:t>支持对USB接口使用进行只读或读写权限设置，禁止通过USB接口向外拷贝数据。</w:t>
            </w:r>
          </w:p>
        </w:tc>
      </w:tr>
      <w:tr>
        <w:tblPrEx>
          <w:tblCellMar>
            <w:top w:w="0" w:type="dxa"/>
            <w:left w:w="0" w:type="dxa"/>
            <w:bottom w:w="0" w:type="dxa"/>
            <w:right w:w="0" w:type="dxa"/>
          </w:tblCellMar>
        </w:tblPrEx>
        <w:trPr>
          <w:trHeight w:val="256" w:hRule="atLeast"/>
        </w:trPr>
        <w:tc>
          <w:tcPr>
            <w:tcW w:w="2089"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jc w:val="center"/>
            </w:pPr>
            <w:r>
              <w:rPr>
                <w:rStyle w:val="12"/>
                <w:rFonts w:hint="eastAsia" w:ascii="微软雅黑" w:hAnsi="微软雅黑" w:eastAsia="微软雅黑" w:cs="微软雅黑"/>
                <w:b w:val="0"/>
                <w:bCs/>
              </w:rPr>
              <w:t>USB使用申请</w:t>
            </w:r>
          </w:p>
        </w:tc>
        <w:tc>
          <w:tcPr>
            <w:tcW w:w="6289"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8"/>
              <w:widowControl/>
              <w:wordWrap w:val="0"/>
              <w:spacing w:beforeAutospacing="0" w:afterAutospacing="0"/>
              <w:rPr>
                <w:rFonts w:ascii="仿宋" w:hAnsi="仿宋" w:eastAsia="仿宋" w:cs="仿宋"/>
                <w:kern w:val="2"/>
              </w:rPr>
            </w:pPr>
            <w:r>
              <w:rPr>
                <w:rFonts w:hint="eastAsia" w:ascii="仿宋" w:hAnsi="仿宋" w:eastAsia="仿宋" w:cs="仿宋"/>
                <w:kern w:val="2"/>
              </w:rPr>
              <w:t>终端使用USB时可以主动发起申请操作，申请通过前不允许使用USB存储介质；</w:t>
            </w:r>
          </w:p>
        </w:tc>
      </w:tr>
      <w:tr>
        <w:tblPrEx>
          <w:tblCellMar>
            <w:top w:w="0" w:type="dxa"/>
            <w:left w:w="0" w:type="dxa"/>
            <w:bottom w:w="0" w:type="dxa"/>
            <w:right w:w="0" w:type="dxa"/>
          </w:tblCellMar>
        </w:tblPrEx>
        <w:trPr>
          <w:trHeight w:val="500" w:hRule="atLeast"/>
        </w:trPr>
        <w:tc>
          <w:tcPr>
            <w:tcW w:w="2089"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jc w:val="center"/>
            </w:pPr>
            <w:r>
              <w:rPr>
                <w:rFonts w:hint="eastAsia" w:ascii="微软雅黑" w:hAnsi="微软雅黑" w:eastAsia="微软雅黑" w:cs="微软雅黑"/>
                <w:b/>
                <w:sz w:val="18"/>
                <w:szCs w:val="18"/>
              </w:rPr>
              <w:t>★</w:t>
            </w:r>
            <w:r>
              <w:rPr>
                <w:rStyle w:val="12"/>
                <w:rFonts w:hint="eastAsia" w:ascii="微软雅黑" w:hAnsi="微软雅黑" w:eastAsia="微软雅黑" w:cs="微软雅黑"/>
                <w:b w:val="0"/>
                <w:bCs/>
              </w:rPr>
              <w:t>USB使用审计</w:t>
            </w:r>
          </w:p>
        </w:tc>
        <w:tc>
          <w:tcPr>
            <w:tcW w:w="6289"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rPr>
                <w:rFonts w:ascii="仿宋" w:hAnsi="仿宋" w:eastAsia="仿宋" w:cs="仿宋"/>
                <w:kern w:val="2"/>
              </w:rPr>
            </w:pPr>
            <w:r>
              <w:rPr>
                <w:rFonts w:hint="eastAsia" w:ascii="仿宋" w:hAnsi="仿宋" w:eastAsia="仿宋" w:cs="仿宋"/>
                <w:kern w:val="2"/>
              </w:rPr>
              <w:t>支持对USB存储介质的插拔行为进行记录；</w:t>
            </w:r>
          </w:p>
          <w:p>
            <w:pPr>
              <w:pStyle w:val="8"/>
              <w:widowControl/>
              <w:spacing w:beforeAutospacing="0" w:afterAutospacing="0"/>
              <w:rPr>
                <w:rFonts w:ascii="仿宋" w:hAnsi="仿宋" w:eastAsia="仿宋" w:cs="仿宋"/>
                <w:kern w:val="2"/>
              </w:rPr>
            </w:pPr>
            <w:r>
              <w:rPr>
                <w:rFonts w:hint="eastAsia" w:ascii="仿宋" w:hAnsi="仿宋" w:eastAsia="仿宋" w:cs="仿宋"/>
                <w:kern w:val="2"/>
              </w:rPr>
              <w:t>支持对USB存储介质内的文件操作行为进行详细记录。</w:t>
            </w:r>
          </w:p>
        </w:tc>
      </w:tr>
      <w:tr>
        <w:tblPrEx>
          <w:tblCellMar>
            <w:top w:w="0" w:type="dxa"/>
            <w:left w:w="0" w:type="dxa"/>
            <w:bottom w:w="0" w:type="dxa"/>
            <w:right w:w="0" w:type="dxa"/>
          </w:tblCellMar>
        </w:tblPrEx>
        <w:trPr>
          <w:trHeight w:val="744" w:hRule="atLeast"/>
        </w:trPr>
        <w:tc>
          <w:tcPr>
            <w:tcW w:w="2089" w:type="dxa"/>
            <w:gridSpan w:val="2"/>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jc w:val="center"/>
            </w:pPr>
            <w:r>
              <w:rPr>
                <w:rStyle w:val="12"/>
                <w:rFonts w:hint="eastAsia" w:ascii="微软雅黑" w:hAnsi="微软雅黑" w:eastAsia="微软雅黑" w:cs="微软雅黑"/>
                <w:b w:val="0"/>
                <w:bCs/>
              </w:rPr>
              <w:t>终端安全规范</w:t>
            </w:r>
          </w:p>
        </w:tc>
        <w:tc>
          <w:tcPr>
            <w:tcW w:w="6289"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rPr>
                <w:rFonts w:ascii="仿宋" w:hAnsi="仿宋" w:eastAsia="仿宋" w:cs="仿宋"/>
                <w:kern w:val="2"/>
              </w:rPr>
            </w:pPr>
            <w:r>
              <w:rPr>
                <w:rFonts w:hint="eastAsia" w:ascii="仿宋" w:hAnsi="仿宋" w:eastAsia="仿宋" w:cs="仿宋"/>
                <w:kern w:val="2"/>
              </w:rPr>
              <w:t>支持禁用终端所有USB存储设备、蓝牙设备、打印机、便携式设备、光驱介质使用；</w:t>
            </w:r>
          </w:p>
          <w:p>
            <w:pPr>
              <w:pStyle w:val="8"/>
              <w:widowControl/>
              <w:spacing w:beforeAutospacing="0" w:afterAutospacing="0"/>
              <w:rPr>
                <w:rFonts w:ascii="仿宋" w:hAnsi="仿宋" w:eastAsia="仿宋" w:cs="仿宋"/>
                <w:kern w:val="2"/>
              </w:rPr>
            </w:pPr>
            <w:r>
              <w:rPr>
                <w:rFonts w:hint="eastAsia" w:ascii="仿宋" w:hAnsi="仿宋" w:eastAsia="仿宋" w:cs="仿宋"/>
                <w:kern w:val="2"/>
              </w:rPr>
              <w:t>支持禁用终端所有无线网卡、3G无线上网卡、手机代理上网、无线热点、调制解调器、其它网卡（含虚拟网卡，除与服务器连接应用的网卡）外联设备；</w:t>
            </w:r>
          </w:p>
        </w:tc>
      </w:tr>
      <w:tr>
        <w:tblPrEx>
          <w:tblCellMar>
            <w:top w:w="0" w:type="dxa"/>
            <w:left w:w="0" w:type="dxa"/>
            <w:bottom w:w="0" w:type="dxa"/>
            <w:right w:w="0" w:type="dxa"/>
          </w:tblCellMar>
        </w:tblPrEx>
        <w:trPr>
          <w:trHeight w:val="256" w:hRule="atLeast"/>
        </w:trPr>
        <w:tc>
          <w:tcPr>
            <w:tcW w:w="2089" w:type="dxa"/>
            <w:gridSpan w:val="2"/>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ascii="宋体"/>
                <w:sz w:val="24"/>
              </w:rPr>
            </w:pPr>
          </w:p>
        </w:tc>
        <w:tc>
          <w:tcPr>
            <w:tcW w:w="6289"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rPr>
                <w:rFonts w:ascii="仿宋" w:hAnsi="仿宋" w:eastAsia="仿宋" w:cs="仿宋"/>
                <w:kern w:val="2"/>
              </w:rPr>
            </w:pPr>
            <w:r>
              <w:rPr>
                <w:rFonts w:hint="eastAsia" w:ascii="仿宋" w:hAnsi="仿宋" w:eastAsia="仿宋" w:cs="仿宋"/>
                <w:kern w:val="2"/>
              </w:rPr>
              <w:t>支持IP/MAC绑定（可设定允许修改DNS）；</w:t>
            </w:r>
          </w:p>
        </w:tc>
      </w:tr>
      <w:tr>
        <w:tblPrEx>
          <w:tblCellMar>
            <w:top w:w="0" w:type="dxa"/>
            <w:left w:w="0" w:type="dxa"/>
            <w:bottom w:w="0" w:type="dxa"/>
            <w:right w:w="0" w:type="dxa"/>
          </w:tblCellMar>
        </w:tblPrEx>
        <w:trPr>
          <w:trHeight w:val="744" w:hRule="atLeast"/>
        </w:trPr>
        <w:tc>
          <w:tcPr>
            <w:tcW w:w="2089"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jc w:val="center"/>
              <w:rPr>
                <w:rStyle w:val="12"/>
                <w:rFonts w:ascii="微软雅黑" w:hAnsi="微软雅黑" w:eastAsia="微软雅黑" w:cs="微软雅黑"/>
                <w:bCs/>
              </w:rPr>
            </w:pPr>
            <w:r>
              <w:rPr>
                <w:rStyle w:val="12"/>
                <w:rFonts w:hint="eastAsia" w:ascii="微软雅黑" w:hAnsi="微软雅黑" w:eastAsia="微软雅黑" w:cs="微软雅黑"/>
                <w:b w:val="0"/>
                <w:bCs/>
              </w:rPr>
              <w:t>终端行为审计</w:t>
            </w:r>
          </w:p>
        </w:tc>
        <w:tc>
          <w:tcPr>
            <w:tcW w:w="6289"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rPr>
                <w:rFonts w:ascii="仿宋" w:hAnsi="仿宋" w:eastAsia="仿宋" w:cs="仿宋"/>
                <w:kern w:val="2"/>
              </w:rPr>
            </w:pPr>
            <w:r>
              <w:rPr>
                <w:rFonts w:hint="eastAsia" w:ascii="仿宋" w:hAnsi="仿宋" w:eastAsia="仿宋" w:cs="仿宋"/>
                <w:kern w:val="2"/>
              </w:rPr>
              <w:t>支持针对终端的行为安全审计功能，包括上网行为、用户行为、文件操作等行为，具体包括终端浏览网站审计、终端应用程序审计、终端文件操作审计、终端USB插拔审计、终端USB文件操作审计功能。</w:t>
            </w:r>
          </w:p>
        </w:tc>
      </w:tr>
      <w:tr>
        <w:tblPrEx>
          <w:tblCellMar>
            <w:top w:w="0" w:type="dxa"/>
            <w:left w:w="0" w:type="dxa"/>
            <w:bottom w:w="0" w:type="dxa"/>
            <w:right w:w="0" w:type="dxa"/>
          </w:tblCellMar>
        </w:tblPrEx>
        <w:trPr>
          <w:trHeight w:val="500" w:hRule="atLeast"/>
        </w:trPr>
        <w:tc>
          <w:tcPr>
            <w:tcW w:w="2089"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jc w:val="center"/>
              <w:rPr>
                <w:rStyle w:val="12"/>
                <w:rFonts w:ascii="微软雅黑" w:hAnsi="微软雅黑" w:eastAsia="微软雅黑" w:cs="微软雅黑"/>
                <w:bCs/>
              </w:rPr>
            </w:pPr>
            <w:r>
              <w:rPr>
                <w:rStyle w:val="12"/>
                <w:rFonts w:hint="eastAsia" w:ascii="微软雅黑" w:hAnsi="微软雅黑" w:eastAsia="微软雅黑" w:cs="微软雅黑"/>
                <w:b w:val="0"/>
                <w:bCs/>
              </w:rPr>
              <w:t>水印信息</w:t>
            </w:r>
          </w:p>
        </w:tc>
        <w:tc>
          <w:tcPr>
            <w:tcW w:w="6289"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8"/>
              <w:widowControl/>
              <w:wordWrap w:val="0"/>
              <w:spacing w:beforeAutospacing="0" w:afterAutospacing="0"/>
              <w:rPr>
                <w:rFonts w:ascii="仿宋" w:hAnsi="仿宋" w:eastAsia="仿宋" w:cs="仿宋"/>
                <w:kern w:val="2"/>
              </w:rPr>
            </w:pPr>
            <w:r>
              <w:rPr>
                <w:rFonts w:hint="eastAsia" w:ascii="仿宋" w:hAnsi="仿宋" w:eastAsia="仿宋" w:cs="仿宋"/>
                <w:kern w:val="2"/>
              </w:rPr>
              <w:t>支持屏幕水印防护，内容包含用户名、所属部门、用户真实姓名、IP地址、MAC地址、计算机名称、终端时间等，同时支持自定义水印内容；</w:t>
            </w:r>
          </w:p>
        </w:tc>
      </w:tr>
      <w:tr>
        <w:tblPrEx>
          <w:tblCellMar>
            <w:top w:w="0" w:type="dxa"/>
            <w:left w:w="0" w:type="dxa"/>
            <w:bottom w:w="0" w:type="dxa"/>
            <w:right w:w="0" w:type="dxa"/>
          </w:tblCellMar>
        </w:tblPrEx>
        <w:trPr>
          <w:trHeight w:val="987" w:hRule="atLeast"/>
        </w:trPr>
        <w:tc>
          <w:tcPr>
            <w:tcW w:w="2089"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jc w:val="center"/>
              <w:rPr>
                <w:rStyle w:val="12"/>
                <w:rFonts w:ascii="微软雅黑" w:hAnsi="微软雅黑" w:eastAsia="微软雅黑" w:cs="微软雅黑"/>
                <w:bCs/>
              </w:rPr>
            </w:pPr>
            <w:r>
              <w:rPr>
                <w:rStyle w:val="12"/>
                <w:rFonts w:hint="eastAsia" w:ascii="微软雅黑" w:hAnsi="微软雅黑" w:eastAsia="微软雅黑" w:cs="微软雅黑"/>
                <w:b w:val="0"/>
                <w:bCs/>
              </w:rPr>
              <w:t>报表分析</w:t>
            </w:r>
          </w:p>
        </w:tc>
        <w:tc>
          <w:tcPr>
            <w:tcW w:w="6289"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rPr>
                <w:rFonts w:ascii="仿宋" w:hAnsi="仿宋" w:eastAsia="仿宋" w:cs="仿宋"/>
                <w:kern w:val="2"/>
              </w:rPr>
            </w:pPr>
            <w:r>
              <w:rPr>
                <w:rFonts w:hint="eastAsia" w:ascii="仿宋" w:hAnsi="仿宋" w:eastAsia="仿宋" w:cs="仿宋"/>
                <w:kern w:val="2"/>
              </w:rPr>
              <w:t>在线状态报表：通过在线状态分析功能，可以对入网终端的在线情况进行分析，包括在线终端、离线终端、长期离线终端的按日期分析功能，并支持按部门分别统计以上终端的分析内容，同时，支持以上数据按照汇总数据与详情数据的分别展示，支持对以上数据的高级查询、导出、打印等操作；</w:t>
            </w:r>
          </w:p>
        </w:tc>
      </w:tr>
      <w:tr>
        <w:tblPrEx>
          <w:tblCellMar>
            <w:top w:w="0" w:type="dxa"/>
            <w:left w:w="0" w:type="dxa"/>
            <w:bottom w:w="0" w:type="dxa"/>
            <w:right w:w="0" w:type="dxa"/>
          </w:tblCellMar>
        </w:tblPrEx>
        <w:trPr>
          <w:trHeight w:val="624" w:hRule="atLeast"/>
        </w:trPr>
        <w:tc>
          <w:tcPr>
            <w:tcW w:w="2089" w:type="dxa"/>
            <w:gridSpan w:val="2"/>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jc w:val="center"/>
              <w:rPr>
                <w:rStyle w:val="12"/>
                <w:rFonts w:ascii="微软雅黑" w:hAnsi="微软雅黑" w:eastAsia="微软雅黑" w:cs="微软雅黑"/>
                <w:b w:val="0"/>
                <w:bCs/>
              </w:rPr>
            </w:pPr>
            <w:r>
              <w:rPr>
                <w:rStyle w:val="12"/>
                <w:rFonts w:hint="eastAsia" w:ascii="微软雅黑" w:hAnsi="微软雅黑" w:eastAsia="微软雅黑" w:cs="微软雅黑"/>
                <w:b w:val="0"/>
                <w:bCs/>
              </w:rPr>
              <w:t>资质证明</w:t>
            </w:r>
          </w:p>
        </w:tc>
        <w:tc>
          <w:tcPr>
            <w:tcW w:w="6289"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8"/>
              <w:widowControl/>
              <w:spacing w:beforeAutospacing="0" w:afterAutospacing="0"/>
              <w:rPr>
                <w:rFonts w:ascii="仿宋" w:hAnsi="仿宋" w:eastAsia="仿宋" w:cs="仿宋"/>
                <w:kern w:val="2"/>
              </w:rPr>
            </w:pPr>
            <w:r>
              <w:rPr>
                <w:rFonts w:hint="eastAsia" w:ascii="仿宋" w:hAnsi="仿宋" w:eastAsia="仿宋" w:cs="仿宋"/>
                <w:kern w:val="2"/>
              </w:rPr>
              <w:t>具备公安部计算机信息系统安全专用产品销售许可证及检测报告</w:t>
            </w:r>
          </w:p>
          <w:p>
            <w:pPr>
              <w:pStyle w:val="8"/>
              <w:widowControl/>
              <w:spacing w:beforeAutospacing="0" w:afterAutospacing="0"/>
              <w:rPr>
                <w:rFonts w:ascii="仿宋" w:hAnsi="仿宋" w:eastAsia="仿宋" w:cs="仿宋"/>
                <w:kern w:val="2"/>
              </w:rPr>
            </w:pPr>
            <w:r>
              <w:rPr>
                <w:rFonts w:hint="eastAsia" w:ascii="仿宋" w:hAnsi="仿宋" w:eastAsia="仿宋" w:cs="仿宋"/>
                <w:kern w:val="2"/>
              </w:rPr>
              <w:t>生产厂商具备软件开发成熟度CMMI5认证</w:t>
            </w:r>
          </w:p>
        </w:tc>
      </w:tr>
      <w:tr>
        <w:tblPrEx>
          <w:tblCellMar>
            <w:top w:w="0" w:type="dxa"/>
            <w:left w:w="0" w:type="dxa"/>
            <w:bottom w:w="0" w:type="dxa"/>
            <w:right w:w="0" w:type="dxa"/>
          </w:tblCellMar>
        </w:tblPrEx>
        <w:trPr>
          <w:trHeight w:val="366" w:hRule="atLeast"/>
        </w:trPr>
        <w:tc>
          <w:tcPr>
            <w:tcW w:w="2089" w:type="dxa"/>
            <w:gridSpan w:val="2"/>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ascii="宋体"/>
                <w:sz w:val="24"/>
              </w:rPr>
            </w:pPr>
          </w:p>
        </w:tc>
        <w:tc>
          <w:tcPr>
            <w:tcW w:w="6289"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ascii="宋体"/>
                <w:sz w:val="24"/>
              </w:rPr>
            </w:pPr>
          </w:p>
        </w:tc>
      </w:tr>
      <w:tr>
        <w:tblPrEx>
          <w:tblCellMar>
            <w:top w:w="0" w:type="dxa"/>
            <w:left w:w="0" w:type="dxa"/>
            <w:bottom w:w="0" w:type="dxa"/>
            <w:right w:w="0" w:type="dxa"/>
          </w:tblCellMar>
        </w:tblPrEx>
        <w:trPr>
          <w:trHeight w:val="366" w:hRule="atLeast"/>
        </w:trPr>
        <w:tc>
          <w:tcPr>
            <w:tcW w:w="2089" w:type="dxa"/>
            <w:gridSpan w:val="2"/>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ascii="宋体"/>
                <w:sz w:val="24"/>
              </w:rPr>
            </w:pPr>
          </w:p>
        </w:tc>
        <w:tc>
          <w:tcPr>
            <w:tcW w:w="6289"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ascii="宋体"/>
                <w:sz w:val="24"/>
              </w:rPr>
            </w:pPr>
          </w:p>
        </w:tc>
      </w:tr>
      <w:tr>
        <w:tblPrEx>
          <w:tblCellMar>
            <w:top w:w="0" w:type="dxa"/>
            <w:left w:w="0" w:type="dxa"/>
            <w:bottom w:w="0" w:type="dxa"/>
            <w:right w:w="0" w:type="dxa"/>
          </w:tblCellMar>
        </w:tblPrEx>
        <w:trPr>
          <w:trHeight w:val="366" w:hRule="atLeast"/>
        </w:trPr>
        <w:tc>
          <w:tcPr>
            <w:tcW w:w="2089" w:type="dxa"/>
            <w:gridSpan w:val="2"/>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ascii="宋体"/>
                <w:sz w:val="24"/>
              </w:rPr>
            </w:pPr>
          </w:p>
        </w:tc>
        <w:tc>
          <w:tcPr>
            <w:tcW w:w="6289"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ascii="宋体"/>
                <w:sz w:val="24"/>
              </w:rPr>
            </w:pPr>
          </w:p>
        </w:tc>
      </w:tr>
      <w:tr>
        <w:tblPrEx>
          <w:tblCellMar>
            <w:top w:w="0" w:type="dxa"/>
            <w:left w:w="0" w:type="dxa"/>
            <w:bottom w:w="0" w:type="dxa"/>
            <w:right w:w="0" w:type="dxa"/>
          </w:tblCellMar>
        </w:tblPrEx>
        <w:trPr>
          <w:trHeight w:val="366" w:hRule="atLeast"/>
        </w:trPr>
        <w:tc>
          <w:tcPr>
            <w:tcW w:w="2089" w:type="dxa"/>
            <w:gridSpan w:val="2"/>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ascii="宋体"/>
                <w:sz w:val="24"/>
              </w:rPr>
            </w:pPr>
          </w:p>
        </w:tc>
        <w:tc>
          <w:tcPr>
            <w:tcW w:w="6289"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ascii="宋体"/>
                <w:sz w:val="24"/>
              </w:rPr>
            </w:pPr>
          </w:p>
        </w:tc>
      </w:tr>
      <w:tr>
        <w:tblPrEx>
          <w:tblCellMar>
            <w:top w:w="0" w:type="dxa"/>
            <w:left w:w="0" w:type="dxa"/>
            <w:bottom w:w="0" w:type="dxa"/>
            <w:right w:w="0" w:type="dxa"/>
          </w:tblCellMar>
        </w:tblPrEx>
        <w:trPr>
          <w:trHeight w:val="366" w:hRule="atLeast"/>
        </w:trPr>
        <w:tc>
          <w:tcPr>
            <w:tcW w:w="2089" w:type="dxa"/>
            <w:gridSpan w:val="2"/>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ascii="宋体"/>
                <w:sz w:val="24"/>
              </w:rPr>
            </w:pPr>
          </w:p>
        </w:tc>
        <w:tc>
          <w:tcPr>
            <w:tcW w:w="6289"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ascii="宋体"/>
                <w:sz w:val="24"/>
              </w:rPr>
            </w:pPr>
          </w:p>
        </w:tc>
      </w:tr>
      <w:tr>
        <w:tblPrEx>
          <w:tblCellMar>
            <w:top w:w="0" w:type="dxa"/>
            <w:left w:w="0" w:type="dxa"/>
            <w:bottom w:w="0" w:type="dxa"/>
            <w:right w:w="0" w:type="dxa"/>
          </w:tblCellMar>
        </w:tblPrEx>
        <w:trPr>
          <w:trHeight w:val="312" w:hRule="atLeast"/>
        </w:trPr>
        <w:tc>
          <w:tcPr>
            <w:tcW w:w="2089" w:type="dxa"/>
            <w:gridSpan w:val="2"/>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ascii="宋体"/>
                <w:sz w:val="24"/>
              </w:rPr>
            </w:pPr>
          </w:p>
        </w:tc>
        <w:tc>
          <w:tcPr>
            <w:tcW w:w="6289"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ascii="宋体"/>
                <w:sz w:val="24"/>
              </w:rPr>
            </w:pPr>
          </w:p>
        </w:tc>
      </w:tr>
    </w:tbl>
    <w:p/>
    <w:p>
      <w:pPr>
        <w:pStyle w:val="18"/>
        <w:numPr>
          <w:ilvl w:val="0"/>
          <w:numId w:val="1"/>
        </w:numPr>
        <w:ind w:firstLineChars="0"/>
        <w:rPr>
          <w:rFonts w:ascii="宋体" w:hAnsi="宋体" w:cs="宋体"/>
          <w:b/>
          <w:sz w:val="24"/>
        </w:rPr>
      </w:pPr>
      <w:r>
        <w:rPr>
          <w:rFonts w:hint="eastAsia" w:ascii="宋体" w:hAnsi="宋体" w:cs="宋体"/>
          <w:b/>
          <w:sz w:val="24"/>
        </w:rPr>
        <w:t>售后服务要求</w:t>
      </w:r>
    </w:p>
    <w:p>
      <w:pPr>
        <w:pStyle w:val="20"/>
        <w:spacing w:line="360" w:lineRule="auto"/>
        <w:ind w:firstLine="0" w:firstLineChars="0"/>
        <w:rPr>
          <w:rFonts w:asciiTheme="minorHAnsi"/>
          <w:sz w:val="28"/>
          <w:szCs w:val="28"/>
        </w:rPr>
      </w:pPr>
    </w:p>
    <w:p>
      <w:pPr>
        <w:pStyle w:val="5"/>
        <w:spacing w:line="360" w:lineRule="auto"/>
        <w:ind w:left="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、所提供的网络准入控制系统要求提供3年免费升级及维护服务，保修期内，所有软件、硬件系统维护均为免费。</w:t>
      </w:r>
    </w:p>
    <w:p>
      <w:pPr>
        <w:pStyle w:val="5"/>
        <w:spacing w:line="360" w:lineRule="auto"/>
        <w:ind w:left="0"/>
        <w:rPr>
          <w:rFonts w:ascii="仿宋" w:hAnsi="仿宋" w:eastAsia="仿宋" w:cs="仿宋"/>
          <w:sz w:val="24"/>
        </w:rPr>
      </w:pPr>
      <w:r>
        <w:rPr>
          <w:rFonts w:hint="eastAsia" w:ascii="仿宋" w:hAnsi="仿宋" w:eastAsia="仿宋" w:cs="仿宋"/>
          <w:sz w:val="24"/>
        </w:rPr>
        <w:t>2、供应商需设置售后服务机构，并配置服务人员。故障报修的响应时间为7</w:t>
      </w:r>
      <w:r>
        <w:rPr>
          <w:rFonts w:ascii="仿宋" w:hAnsi="仿宋" w:eastAsia="仿宋" w:cs="仿宋"/>
          <w:sz w:val="24"/>
        </w:rPr>
        <w:t>X24</w:t>
      </w:r>
      <w:r>
        <w:rPr>
          <w:rFonts w:hint="eastAsia" w:ascii="仿宋" w:hAnsi="仿宋" w:eastAsia="仿宋" w:cs="仿宋"/>
          <w:sz w:val="24"/>
        </w:rPr>
        <w:t>小时。若电话中无法解决，</w:t>
      </w:r>
      <w:r>
        <w:rPr>
          <w:rFonts w:ascii="仿宋" w:hAnsi="仿宋" w:eastAsia="仿宋" w:cs="仿宋"/>
          <w:sz w:val="24"/>
        </w:rPr>
        <w:t>6</w:t>
      </w:r>
      <w:r>
        <w:rPr>
          <w:rFonts w:hint="eastAsia" w:ascii="仿宋" w:hAnsi="仿宋" w:eastAsia="仿宋" w:cs="仿宋"/>
          <w:sz w:val="24"/>
        </w:rPr>
        <w:t>小时内到达现场进行维护。</w:t>
      </w:r>
    </w:p>
    <w:p>
      <w:pPr>
        <w:pStyle w:val="5"/>
        <w:spacing w:line="360" w:lineRule="auto"/>
        <w:ind w:left="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、保修期内，所有硬件设备维修服务均为上门服务，由此产生的费用均不再收取。</w:t>
      </w:r>
    </w:p>
    <w:p>
      <w:pPr>
        <w:pStyle w:val="5"/>
        <w:spacing w:line="360" w:lineRule="auto"/>
        <w:ind w:left="0"/>
        <w:rPr>
          <w:rFonts w:ascii="仿宋" w:hAnsi="仿宋" w:eastAsia="仿宋" w:cs="仿宋"/>
          <w:sz w:val="24"/>
        </w:rPr>
      </w:pPr>
      <w:r>
        <w:rPr>
          <w:rFonts w:hint="eastAsia" w:ascii="仿宋" w:hAnsi="仿宋" w:eastAsia="仿宋" w:cs="仿宋"/>
          <w:sz w:val="24"/>
        </w:rPr>
        <w:t>4、需提供系统扩充、升级方面的技术支持服务。</w:t>
      </w:r>
    </w:p>
    <w:p>
      <w:pPr>
        <w:pStyle w:val="5"/>
        <w:spacing w:line="360" w:lineRule="auto"/>
        <w:ind w:left="0"/>
        <w:rPr>
          <w:rFonts w:ascii="宋体" w:hAnsi="宋体" w:cs="宋体"/>
          <w:b/>
          <w:sz w:val="24"/>
        </w:rPr>
      </w:pPr>
      <w:r>
        <w:rPr>
          <w:rFonts w:ascii="仿宋" w:hAnsi="仿宋" w:eastAsia="仿宋" w:cs="仿宋"/>
          <w:sz w:val="24"/>
        </w:rPr>
        <w:t>5</w:t>
      </w:r>
      <w:r>
        <w:rPr>
          <w:rFonts w:hint="eastAsia" w:ascii="仿宋" w:hAnsi="仿宋" w:eastAsia="仿宋" w:cs="仿宋"/>
          <w:sz w:val="24"/>
        </w:rPr>
        <w:t>、如产品过保，则厂家需根据需要提供有偿维保服务，包括但不限于有偿上门、维修、升级维护，采购建议等。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AE1B37"/>
    <w:multiLevelType w:val="multilevel"/>
    <w:tmpl w:val="4FAE1B37"/>
    <w:lvl w:ilvl="0" w:tentative="0">
      <w:start w:val="2"/>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JlMzUyMjc5NzkxZGMwMTBkNDM4OGZlM2I3MzU1MWEifQ=="/>
  </w:docVars>
  <w:rsids>
    <w:rsidRoot w:val="00185294"/>
    <w:rsid w:val="00027F1B"/>
    <w:rsid w:val="00185294"/>
    <w:rsid w:val="001E4934"/>
    <w:rsid w:val="00293448"/>
    <w:rsid w:val="003A446C"/>
    <w:rsid w:val="004076F1"/>
    <w:rsid w:val="00412C3F"/>
    <w:rsid w:val="004D2863"/>
    <w:rsid w:val="00541457"/>
    <w:rsid w:val="005D03C4"/>
    <w:rsid w:val="0074155A"/>
    <w:rsid w:val="008D222A"/>
    <w:rsid w:val="00900BD5"/>
    <w:rsid w:val="009321D6"/>
    <w:rsid w:val="009372DF"/>
    <w:rsid w:val="00A00D8C"/>
    <w:rsid w:val="00A9680F"/>
    <w:rsid w:val="00CC1F91"/>
    <w:rsid w:val="00FA6B8A"/>
    <w:rsid w:val="00FD1555"/>
    <w:rsid w:val="00FD6747"/>
    <w:rsid w:val="77EF083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Normal Indent"/>
    <w:basedOn w:val="1"/>
    <w:semiHidden/>
    <w:unhideWhenUsed/>
    <w:uiPriority w:val="99"/>
    <w:pPr>
      <w:ind w:firstLine="420" w:firstLineChars="200"/>
    </w:pPr>
  </w:style>
  <w:style w:type="paragraph" w:styleId="4">
    <w:name w:val="Body Text Indent"/>
    <w:basedOn w:val="1"/>
    <w:link w:val="16"/>
    <w:semiHidden/>
    <w:unhideWhenUsed/>
    <w:qFormat/>
    <w:uiPriority w:val="99"/>
    <w:pPr>
      <w:spacing w:after="120"/>
      <w:ind w:left="420" w:leftChars="200"/>
    </w:pPr>
  </w:style>
  <w:style w:type="paragraph" w:styleId="5">
    <w:name w:val="index 4"/>
    <w:basedOn w:val="1"/>
    <w:next w:val="1"/>
    <w:qFormat/>
    <w:uiPriority w:val="0"/>
    <w:pPr>
      <w:ind w:left="1260"/>
    </w:pPr>
    <w:rPr>
      <w:rFonts w:ascii="Times New Roman" w:hAnsi="Times New Roman" w:eastAsia="宋体" w:cs="Times New Roman"/>
      <w:szCs w:val="24"/>
    </w:rPr>
  </w:style>
  <w:style w:type="paragraph" w:styleId="6">
    <w:name w:val="footer"/>
    <w:basedOn w:val="1"/>
    <w:link w:val="14"/>
    <w:unhideWhenUsed/>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szCs w:val="24"/>
    </w:rPr>
  </w:style>
  <w:style w:type="paragraph" w:styleId="9">
    <w:name w:val="Body Text First Indent 2"/>
    <w:basedOn w:val="4"/>
    <w:next w:val="3"/>
    <w:link w:val="17"/>
    <w:qFormat/>
    <w:uiPriority w:val="0"/>
    <w:pPr>
      <w:ind w:firstLine="420" w:firstLineChars="200"/>
    </w:pPr>
    <w:rPr>
      <w:rFonts w:ascii="Times New Roman" w:hAnsi="Times New Roman" w:eastAsia="宋体" w:cs="Times New Roman"/>
      <w:szCs w:val="24"/>
    </w:rPr>
  </w:style>
  <w:style w:type="character" w:styleId="12">
    <w:name w:val="Strong"/>
    <w:basedOn w:val="11"/>
    <w:qFormat/>
    <w:uiPriority w:val="0"/>
    <w:rPr>
      <w:b/>
    </w:rPr>
  </w:style>
  <w:style w:type="character" w:customStyle="1" w:styleId="13">
    <w:name w:val="页眉 Char"/>
    <w:basedOn w:val="11"/>
    <w:link w:val="7"/>
    <w:uiPriority w:val="99"/>
    <w:rPr>
      <w:sz w:val="18"/>
      <w:szCs w:val="18"/>
    </w:rPr>
  </w:style>
  <w:style w:type="character" w:customStyle="1" w:styleId="14">
    <w:name w:val="页脚 Char"/>
    <w:basedOn w:val="11"/>
    <w:link w:val="6"/>
    <w:uiPriority w:val="99"/>
    <w:rPr>
      <w:sz w:val="18"/>
      <w:szCs w:val="18"/>
    </w:rPr>
  </w:style>
  <w:style w:type="character" w:customStyle="1" w:styleId="15">
    <w:name w:val="标题 1 Char"/>
    <w:basedOn w:val="11"/>
    <w:link w:val="2"/>
    <w:uiPriority w:val="9"/>
    <w:rPr>
      <w:b/>
      <w:bCs/>
      <w:kern w:val="44"/>
      <w:sz w:val="44"/>
      <w:szCs w:val="44"/>
    </w:rPr>
  </w:style>
  <w:style w:type="character" w:customStyle="1" w:styleId="16">
    <w:name w:val="正文文本缩进 Char"/>
    <w:basedOn w:val="11"/>
    <w:link w:val="4"/>
    <w:semiHidden/>
    <w:qFormat/>
    <w:uiPriority w:val="99"/>
  </w:style>
  <w:style w:type="character" w:customStyle="1" w:styleId="17">
    <w:name w:val="正文首行缩进 2 Char"/>
    <w:basedOn w:val="16"/>
    <w:link w:val="9"/>
    <w:qFormat/>
    <w:uiPriority w:val="0"/>
    <w:rPr>
      <w:rFonts w:ascii="Times New Roman" w:hAnsi="Times New Roman" w:eastAsia="宋体" w:cs="Times New Roman"/>
      <w:szCs w:val="24"/>
    </w:rPr>
  </w:style>
  <w:style w:type="paragraph" w:styleId="18">
    <w:name w:val="List Paragraph"/>
    <w:basedOn w:val="1"/>
    <w:qFormat/>
    <w:uiPriority w:val="34"/>
    <w:pPr>
      <w:ind w:firstLine="420" w:firstLineChars="200"/>
    </w:pPr>
  </w:style>
  <w:style w:type="character" w:customStyle="1" w:styleId="19">
    <w:name w:val="段 Char"/>
    <w:link w:val="20"/>
    <w:uiPriority w:val="0"/>
    <w:rPr>
      <w:rFonts w:ascii="宋体"/>
    </w:rPr>
  </w:style>
  <w:style w:type="paragraph" w:customStyle="1" w:styleId="20">
    <w:name w:val="段"/>
    <w:link w:val="19"/>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476</Words>
  <Characters>2714</Characters>
  <Lines>22</Lines>
  <Paragraphs>6</Paragraphs>
  <TotalTime>47</TotalTime>
  <ScaleCrop>false</ScaleCrop>
  <LinksUpToDate>false</LinksUpToDate>
  <CharactersWithSpaces>3184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2024-04-02T03:08:00Z</dcterms:created>
  <dc:creator>M</dc:creator>
  <cp:lastModifiedBy>123</cp:lastModifiedBy>
  <dcterms:modified xsi:type="dcterms:W3CDTF">2024-04-02T07:11:02Z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B97BE024BC2E49BCB8C614DC0EC8F969_12</vt:lpwstr>
  </property>
</Properties>
</file>